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E7" w:rsidRPr="00342D2D" w:rsidRDefault="00C04D42" w:rsidP="00342D2D">
      <w:pPr>
        <w:jc w:val="center"/>
        <w:rPr>
          <w:sz w:val="28"/>
          <w:szCs w:val="28"/>
        </w:rPr>
      </w:pPr>
      <w:r w:rsidRPr="00342D2D">
        <w:rPr>
          <w:b/>
          <w:sz w:val="28"/>
          <w:szCs w:val="28"/>
        </w:rPr>
        <w:t>Сценарные условия и основные параметры прогноза социально-экономического развития муниципального образования «Город Саратов» на 2026-2028 годы»</w:t>
      </w:r>
    </w:p>
    <w:p w:rsidR="00047AE7" w:rsidRPr="00342D2D" w:rsidRDefault="00047AE7" w:rsidP="00342D2D">
      <w:pPr>
        <w:ind w:firstLine="567"/>
        <w:jc w:val="both"/>
        <w:rPr>
          <w:sz w:val="28"/>
          <w:szCs w:val="28"/>
        </w:rPr>
      </w:pP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>В соответствии с Бюджетным кодексом Российской Федерации в целях финансового обеспечения расходных обязательств бюджет муниципального образования «Город Саратов»</w:t>
      </w:r>
      <w:r w:rsidR="00480124" w:rsidRPr="00342D2D">
        <w:rPr>
          <w:sz w:val="28"/>
          <w:szCs w:val="28"/>
        </w:rPr>
        <w:t xml:space="preserve"> </w:t>
      </w:r>
      <w:r w:rsidRPr="00342D2D">
        <w:rPr>
          <w:sz w:val="28"/>
          <w:szCs w:val="28"/>
        </w:rPr>
        <w:t>разрабатывается на основе прогноза социально-экономического развития.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>В текущем году за основу разработки параметров прогноза социально-экономического развития на период 2026-2028 годов определен сценарий, условно названный «базовым», который описывает вероятный сценарий развития российской экономики</w:t>
      </w:r>
      <w:r w:rsidR="00480124" w:rsidRPr="00342D2D">
        <w:rPr>
          <w:sz w:val="28"/>
          <w:szCs w:val="28"/>
        </w:rPr>
        <w:t xml:space="preserve"> </w:t>
      </w:r>
      <w:r w:rsidRPr="00342D2D">
        <w:rPr>
          <w:sz w:val="28"/>
          <w:szCs w:val="28"/>
        </w:rPr>
        <w:t xml:space="preserve">с учетом относительно оптимистичных изменений внешних условий.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В 2025 г. будет продолжаться процесс переориентации приоритетных направлений внешней торговли в сторону нейтральных и дружественных стран. Экспорт будет восстанавливаться за счет развития соответствующих новых </w:t>
      </w:r>
      <w:proofErr w:type="spellStart"/>
      <w:r w:rsidRPr="00342D2D">
        <w:rPr>
          <w:sz w:val="28"/>
          <w:szCs w:val="28"/>
        </w:rPr>
        <w:t>логистических</w:t>
      </w:r>
      <w:proofErr w:type="spellEnd"/>
      <w:r w:rsidRPr="00342D2D">
        <w:rPr>
          <w:sz w:val="28"/>
          <w:szCs w:val="28"/>
        </w:rPr>
        <w:t xml:space="preserve"> и производственных цепочек.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proofErr w:type="gramStart"/>
      <w:r w:rsidRPr="00342D2D">
        <w:rPr>
          <w:sz w:val="28"/>
          <w:szCs w:val="28"/>
        </w:rPr>
        <w:t>Промышленное производство в 2025 году будет демонстрировать ожидаемое замедление темпов роста на фоне высокой накопленной базы прошлых лет – по оценке, темп роста составит 2,6%. Более высокие темпы сохранятся в секторе обрабатывающих производств – рост на 4,3%. Высокими темпами продолжат расти отрасли высоких технологий, такие как фармацевтика, производство компьютеров и электроники, транспортное машиностроение и др.</w:t>
      </w:r>
      <w:proofErr w:type="gramEnd"/>
    </w:p>
    <w:p w:rsidR="00047AE7" w:rsidRPr="00342D2D" w:rsidRDefault="00C04D42" w:rsidP="00342D2D">
      <w:pPr>
        <w:ind w:firstLine="709"/>
        <w:jc w:val="both"/>
        <w:rPr>
          <w:i/>
          <w:sz w:val="28"/>
          <w:szCs w:val="28"/>
        </w:rPr>
      </w:pPr>
      <w:r w:rsidRPr="00342D2D">
        <w:rPr>
          <w:sz w:val="28"/>
          <w:szCs w:val="28"/>
        </w:rPr>
        <w:t>Прирост инвестиций в основной капитал составит 1,7% с учетом высокой базы прошлых лет.</w:t>
      </w:r>
    </w:p>
    <w:p w:rsidR="00047AE7" w:rsidRPr="00342D2D" w:rsidRDefault="00C04D42" w:rsidP="00342D2D">
      <w:pPr>
        <w:ind w:firstLine="709"/>
        <w:jc w:val="both"/>
        <w:rPr>
          <w:i/>
          <w:sz w:val="28"/>
          <w:szCs w:val="28"/>
        </w:rPr>
      </w:pPr>
      <w:r w:rsidRPr="00342D2D">
        <w:rPr>
          <w:sz w:val="28"/>
          <w:szCs w:val="28"/>
        </w:rPr>
        <w:t>Инфляция по итогам 2025 года замедлится до 7,6% декабрь к декабрю 2024 г.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В текущем году ожидается сохранение стабильной ситуации на рынке труда. Уровень безработицы оценивается на уровне 2,5% рабочей силы, что соответствует значению 2024 года.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Рост реальной заработной платы ожидается на 6,8 процента. В 2025 году также продолжится рост реальных доходов населения – по оценке на 6,2% в реальном выражении, а реальные располагаемые доходы одновременно увеличатся на 5,9%. Основной вклад внесут как заработные платы работников организаций, так и доходы от предпринимательской </w:t>
      </w:r>
      <w:proofErr w:type="gramStart"/>
      <w:r w:rsidRPr="00342D2D">
        <w:rPr>
          <w:sz w:val="28"/>
          <w:szCs w:val="28"/>
        </w:rPr>
        <w:t>деятельности</w:t>
      </w:r>
      <w:proofErr w:type="gramEnd"/>
      <w:r w:rsidRPr="00342D2D">
        <w:rPr>
          <w:sz w:val="28"/>
          <w:szCs w:val="28"/>
        </w:rPr>
        <w:t xml:space="preserve"> и доходы от собственности (прежде всего, доходы по банковским вкладам).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Значительное влияние также </w:t>
      </w:r>
      <w:proofErr w:type="gramStart"/>
      <w:r w:rsidRPr="00342D2D">
        <w:rPr>
          <w:sz w:val="28"/>
          <w:szCs w:val="28"/>
        </w:rPr>
        <w:t>окажут меры</w:t>
      </w:r>
      <w:proofErr w:type="gramEnd"/>
      <w:r w:rsidRPr="00342D2D">
        <w:rPr>
          <w:sz w:val="28"/>
          <w:szCs w:val="28"/>
        </w:rPr>
        <w:t xml:space="preserve"> комплексной социальной поддержки населению.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Темпы роста инвестиционной активности будут ускоряться (до 3,7% к 2028 г.) по мере смягчения денежно-кредитных условий, основным источником роста продолжит оставаться частная предпринимательская инициатива.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Инфляция выйдет на целевой уровень Банка России 4% в 2026 г. и сохранится на этом уровне до конца прогнозируемого периода.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Рост ВВП в 2026 г. составит 2,4%. Далее рост экономики ускорится до 2,8% в 2027 г. и до 3,0% в 2028 г. 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lastRenderedPageBreak/>
        <w:t>Данные параметры соответствуют целевым значениям, заложенным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Таковы основные параметры прогноза социально-экономического развития Российской Федерации на период </w:t>
      </w:r>
      <w:r w:rsidRPr="00342D2D">
        <w:rPr>
          <w:sz w:val="28"/>
          <w:szCs w:val="28"/>
        </w:rPr>
        <w:br/>
        <w:t>до 2028года.</w:t>
      </w:r>
    </w:p>
    <w:p w:rsidR="00047AE7" w:rsidRPr="00342D2D" w:rsidRDefault="00C04D42" w:rsidP="00342D2D">
      <w:pPr>
        <w:pStyle w:val="2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42D2D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образования «Город Саратов» составлялся более чем по 168 параметрам, обобщенным затем в группы из 28 основных показателей.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>Расчет показателей прогноза произведен с учетом</w:t>
      </w:r>
      <w:r w:rsidR="00342D2D">
        <w:rPr>
          <w:sz w:val="28"/>
          <w:szCs w:val="28"/>
        </w:rPr>
        <w:t xml:space="preserve"> </w:t>
      </w:r>
      <w:r w:rsidRPr="00342D2D">
        <w:rPr>
          <w:sz w:val="28"/>
          <w:szCs w:val="28"/>
        </w:rPr>
        <w:t>тенденций развития экономики вошедших в состав муниципального образования «Город Саратов» территорий.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>Каждый из показателей прогноза рассчитан исходя из заданных темпов роста экономики, предполагаемого уровня инфляции, сценарных условий, доведенных министерством экономического развития Саратовской области, полученных первичных данных предприятий и организаций.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>Разработанный прогноз прошел общественное обсуждение</w:t>
      </w:r>
      <w:r w:rsidRPr="00342D2D">
        <w:rPr>
          <w:sz w:val="28"/>
          <w:szCs w:val="28"/>
        </w:rPr>
        <w:br/>
        <w:t>и обязательную процедуру согласования в министерстве экономического развития Саратовской области.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>В соответствии с полученными прогнозными данными социально-экономическое положение города в ближайшие три года будет характеризоваться следующими показателями.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Оценка </w:t>
      </w:r>
      <w:r w:rsidRPr="00342D2D">
        <w:rPr>
          <w:b/>
          <w:sz w:val="28"/>
          <w:szCs w:val="28"/>
        </w:rPr>
        <w:t>индекса промышленного производства</w:t>
      </w:r>
      <w:r w:rsidRPr="00342D2D">
        <w:rPr>
          <w:sz w:val="28"/>
          <w:szCs w:val="28"/>
        </w:rPr>
        <w:t xml:space="preserve"> в 2025 году составляет 104,8%, прогноз на 2026 год – 104,4%, на 2027 год – 104,3%, на 2028 год – 104,3%.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r w:rsidRPr="00342D2D">
        <w:rPr>
          <w:b/>
          <w:sz w:val="28"/>
          <w:szCs w:val="28"/>
        </w:rPr>
        <w:t>Объем отгруженных товаров</w:t>
      </w:r>
      <w:r w:rsidRPr="00342D2D">
        <w:rPr>
          <w:sz w:val="28"/>
          <w:szCs w:val="28"/>
        </w:rPr>
        <w:t xml:space="preserve"> собственного производства, выполненных работ и услуг по полному кругу организаций </w:t>
      </w:r>
      <w:r w:rsidRPr="00342D2D">
        <w:rPr>
          <w:sz w:val="28"/>
          <w:szCs w:val="28"/>
        </w:rPr>
        <w:br/>
        <w:t>в 2025 году оценивается в размере 505,1 млрд. руб. и прогнозируется в 2026 году на уровне 555,4 млрд. руб., в 2027 году – 607,8 млрд. руб., в 2028 году – 660,6 млрд. руб.</w:t>
      </w:r>
    </w:p>
    <w:p w:rsidR="00047AE7" w:rsidRPr="00342D2D" w:rsidRDefault="00C04D42" w:rsidP="00342D2D">
      <w:pPr>
        <w:pStyle w:val="3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342D2D">
        <w:rPr>
          <w:b/>
          <w:sz w:val="28"/>
          <w:szCs w:val="28"/>
        </w:rPr>
        <w:t>Среднемесячная заработная плата</w:t>
      </w:r>
      <w:r w:rsidRPr="00342D2D">
        <w:rPr>
          <w:sz w:val="28"/>
          <w:szCs w:val="28"/>
        </w:rPr>
        <w:t xml:space="preserve"> по оценке в 2025 году увеличится на 15,9% относительно 2025 года и составит 88,4 тыс. руб., далее ожидается увеличение заработной платы в 2026 году – на 11,4% до 98,5 тыс. руб., в 2027 году – на 8,3% до 106,7 тыс. руб. </w:t>
      </w:r>
      <w:r w:rsidRPr="00342D2D">
        <w:rPr>
          <w:sz w:val="28"/>
          <w:szCs w:val="28"/>
        </w:rPr>
        <w:br/>
        <w:t xml:space="preserve">К 2028 году темп роста прогнозируется на уровне 107,3%, </w:t>
      </w:r>
      <w:r w:rsidRPr="00342D2D">
        <w:rPr>
          <w:sz w:val="28"/>
          <w:szCs w:val="28"/>
        </w:rPr>
        <w:br/>
        <w:t xml:space="preserve">что позволит достигнуть уровня среднемесячной заработной платы </w:t>
      </w:r>
      <w:r w:rsidRPr="00342D2D">
        <w:rPr>
          <w:sz w:val="28"/>
          <w:szCs w:val="28"/>
        </w:rPr>
        <w:br/>
        <w:t>в 114,5</w:t>
      </w:r>
      <w:proofErr w:type="gramEnd"/>
      <w:r w:rsidRPr="00342D2D">
        <w:rPr>
          <w:sz w:val="28"/>
          <w:szCs w:val="28"/>
        </w:rPr>
        <w:t xml:space="preserve"> тыс. руб.</w:t>
      </w:r>
    </w:p>
    <w:p w:rsidR="00047AE7" w:rsidRPr="00342D2D" w:rsidRDefault="00C04D42" w:rsidP="00342D2D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По прогнозным расчетам </w:t>
      </w:r>
      <w:r w:rsidRPr="00342D2D">
        <w:rPr>
          <w:b/>
          <w:sz w:val="28"/>
          <w:szCs w:val="28"/>
        </w:rPr>
        <w:t>фонд оплаты труда</w:t>
      </w:r>
      <w:r w:rsidRPr="00342D2D">
        <w:rPr>
          <w:sz w:val="28"/>
          <w:szCs w:val="28"/>
        </w:rPr>
        <w:t xml:space="preserve"> в 2025 году оценивается в 322,2 млрд. руб. или 115,5% к 2024 году, в 2026 году прогнозируется в размере 359,6 млрд. руб. или 111,6%., к 2027году – 389,4 млрд. руб. или 108,3%,к 2028 году – в размере 418,6 млрд. руб. или 107,5%.</w:t>
      </w:r>
    </w:p>
    <w:p w:rsidR="00047AE7" w:rsidRPr="00342D2D" w:rsidRDefault="00C04D42" w:rsidP="00342D2D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342D2D">
        <w:rPr>
          <w:sz w:val="28"/>
          <w:szCs w:val="28"/>
        </w:rPr>
        <w:t xml:space="preserve">Принимая во </w:t>
      </w:r>
      <w:proofErr w:type="gramStart"/>
      <w:r w:rsidRPr="00342D2D">
        <w:rPr>
          <w:sz w:val="28"/>
          <w:szCs w:val="28"/>
        </w:rPr>
        <w:t>внимание</w:t>
      </w:r>
      <w:proofErr w:type="gramEnd"/>
      <w:r w:rsidRPr="00342D2D">
        <w:rPr>
          <w:sz w:val="28"/>
          <w:szCs w:val="28"/>
        </w:rPr>
        <w:t xml:space="preserve"> предусмотренное сценарными условиями дальнейшее восстановление потребительского спроса в среднесрочной перспективе, прогноз потребительских расходов</w:t>
      </w:r>
      <w:r w:rsidR="00420FA4" w:rsidRPr="00342D2D">
        <w:rPr>
          <w:sz w:val="28"/>
          <w:szCs w:val="28"/>
        </w:rPr>
        <w:t xml:space="preserve"> </w:t>
      </w:r>
      <w:r w:rsidRPr="00342D2D">
        <w:rPr>
          <w:sz w:val="28"/>
          <w:szCs w:val="28"/>
        </w:rPr>
        <w:t>сложился на следующем уровне.</w:t>
      </w:r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proofErr w:type="gramStart"/>
      <w:r w:rsidRPr="00342D2D">
        <w:rPr>
          <w:sz w:val="28"/>
          <w:szCs w:val="28"/>
        </w:rPr>
        <w:lastRenderedPageBreak/>
        <w:t xml:space="preserve">По оценке на 2025 год </w:t>
      </w:r>
      <w:r w:rsidRPr="00342D2D">
        <w:rPr>
          <w:b/>
          <w:sz w:val="28"/>
          <w:szCs w:val="28"/>
        </w:rPr>
        <w:t>оборот розничной торговли</w:t>
      </w:r>
      <w:r w:rsidRPr="00342D2D">
        <w:rPr>
          <w:sz w:val="28"/>
          <w:szCs w:val="28"/>
        </w:rPr>
        <w:t xml:space="preserve"> составит </w:t>
      </w:r>
      <w:r w:rsidR="00342D2D">
        <w:rPr>
          <w:sz w:val="28"/>
          <w:szCs w:val="28"/>
        </w:rPr>
        <w:t xml:space="preserve">             </w:t>
      </w:r>
      <w:r w:rsidRPr="00342D2D">
        <w:rPr>
          <w:sz w:val="28"/>
          <w:szCs w:val="28"/>
        </w:rPr>
        <w:t>353,4 млрд. руб. или 104,1% к 2024 году, в 2026 году – 389,8 млрд. руб. с темпом роста – 106,1%. При выполнении прогнозируемых темпов роста в 104,1% оборот розничной торговли к 2027 году достигнет 422,1 млрд. руб., в 2028 году 456,3 млрд. руб. или 103,9%.</w:t>
      </w:r>
      <w:proofErr w:type="gramEnd"/>
    </w:p>
    <w:p w:rsidR="00047AE7" w:rsidRPr="00342D2D" w:rsidRDefault="00C04D42" w:rsidP="00342D2D">
      <w:pPr>
        <w:ind w:firstLine="709"/>
        <w:jc w:val="both"/>
        <w:rPr>
          <w:sz w:val="28"/>
          <w:szCs w:val="28"/>
        </w:rPr>
      </w:pPr>
      <w:proofErr w:type="gramStart"/>
      <w:r w:rsidRPr="00342D2D">
        <w:rPr>
          <w:sz w:val="28"/>
          <w:szCs w:val="28"/>
        </w:rPr>
        <w:t>Оценка оборота</w:t>
      </w:r>
      <w:r w:rsidRPr="00342D2D">
        <w:rPr>
          <w:b/>
          <w:sz w:val="28"/>
          <w:szCs w:val="28"/>
        </w:rPr>
        <w:t xml:space="preserve"> общественного питания</w:t>
      </w:r>
      <w:r w:rsidRPr="00342D2D">
        <w:rPr>
          <w:sz w:val="28"/>
          <w:szCs w:val="28"/>
        </w:rPr>
        <w:t xml:space="preserve"> на 2025 год составляет 15,4 млрд. руб., темп роста к 2024 году – 105,8%, в 2026 году – 17,2 млрд. руб. с темпом роста – 105,7%.. При сохранении прогнозируемых темпов роста в 104,0% в 2027 году оборот общественного питания достигнет 18,6 млрд. руб., в 2028 году 20,1 млрд. руб. или 103,9% к 2027 году.</w:t>
      </w:r>
      <w:proofErr w:type="gramEnd"/>
    </w:p>
    <w:p w:rsidR="00047AE7" w:rsidRPr="00342D2D" w:rsidRDefault="00047AE7" w:rsidP="00342D2D">
      <w:pPr>
        <w:ind w:firstLine="709"/>
        <w:jc w:val="both"/>
        <w:rPr>
          <w:i/>
          <w:sz w:val="28"/>
          <w:szCs w:val="28"/>
        </w:rPr>
      </w:pPr>
    </w:p>
    <w:sectPr w:rsidR="00047AE7" w:rsidRPr="00342D2D" w:rsidSect="00047AE7">
      <w:footerReference w:type="default" r:id="rId6"/>
      <w:pgSz w:w="11906" w:h="16838"/>
      <w:pgMar w:top="680" w:right="851" w:bottom="680" w:left="1418" w:header="709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34" w:rsidRDefault="00D22F34" w:rsidP="00047AE7">
      <w:r>
        <w:separator/>
      </w:r>
    </w:p>
  </w:endnote>
  <w:endnote w:type="continuationSeparator" w:id="1">
    <w:p w:rsidR="00D22F34" w:rsidRDefault="00D22F34" w:rsidP="0004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42" w:rsidRDefault="00B75695">
    <w:pPr>
      <w:framePr w:wrap="around" w:vAnchor="text" w:hAnchor="margin" w:xAlign="right" w:y="1"/>
    </w:pPr>
    <w:fldSimple w:instr="PAGE ">
      <w:r w:rsidR="002E7974">
        <w:rPr>
          <w:noProof/>
        </w:rPr>
        <w:t>2</w:t>
      </w:r>
    </w:fldSimple>
  </w:p>
  <w:p w:rsidR="00C04D42" w:rsidRDefault="00C04D42">
    <w:pPr>
      <w:pStyle w:val="a7"/>
      <w:jc w:val="right"/>
    </w:pPr>
  </w:p>
  <w:p w:rsidR="00C04D42" w:rsidRDefault="00C04D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34" w:rsidRDefault="00D22F34" w:rsidP="00047AE7">
      <w:r>
        <w:separator/>
      </w:r>
    </w:p>
  </w:footnote>
  <w:footnote w:type="continuationSeparator" w:id="1">
    <w:p w:rsidR="00D22F34" w:rsidRDefault="00D22F34" w:rsidP="00047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AE7"/>
    <w:rsid w:val="0000333F"/>
    <w:rsid w:val="00047AE7"/>
    <w:rsid w:val="00292F65"/>
    <w:rsid w:val="002952AD"/>
    <w:rsid w:val="002E7974"/>
    <w:rsid w:val="00342D2D"/>
    <w:rsid w:val="00420FA4"/>
    <w:rsid w:val="00480124"/>
    <w:rsid w:val="00985166"/>
    <w:rsid w:val="009B7914"/>
    <w:rsid w:val="00B75695"/>
    <w:rsid w:val="00C04D42"/>
    <w:rsid w:val="00D03FC8"/>
    <w:rsid w:val="00D22F34"/>
    <w:rsid w:val="00DA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7AE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47AE7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047A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47A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47A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047A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7AE7"/>
    <w:rPr>
      <w:sz w:val="24"/>
    </w:rPr>
  </w:style>
  <w:style w:type="paragraph" w:styleId="21">
    <w:name w:val="toc 2"/>
    <w:next w:val="a"/>
    <w:link w:val="22"/>
    <w:uiPriority w:val="39"/>
    <w:rsid w:val="00047A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47AE7"/>
    <w:rPr>
      <w:rFonts w:ascii="XO Thames" w:hAnsi="XO Thames"/>
      <w:sz w:val="28"/>
    </w:rPr>
  </w:style>
  <w:style w:type="paragraph" w:styleId="a3">
    <w:name w:val="header"/>
    <w:basedOn w:val="a"/>
    <w:link w:val="a4"/>
    <w:rsid w:val="00047A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47AE7"/>
  </w:style>
  <w:style w:type="paragraph" w:styleId="41">
    <w:name w:val="toc 4"/>
    <w:next w:val="a"/>
    <w:link w:val="42"/>
    <w:uiPriority w:val="39"/>
    <w:rsid w:val="00047A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47A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47A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47A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47A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47A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47AE7"/>
    <w:rPr>
      <w:rFonts w:ascii="XO Thames" w:hAnsi="XO Thames"/>
      <w:b/>
      <w:sz w:val="26"/>
    </w:rPr>
  </w:style>
  <w:style w:type="paragraph" w:customStyle="1" w:styleId="FontStyle117">
    <w:name w:val="Font Style117"/>
    <w:basedOn w:val="12"/>
    <w:link w:val="FontStyle1170"/>
    <w:rsid w:val="00047AE7"/>
    <w:rPr>
      <w:sz w:val="26"/>
    </w:rPr>
  </w:style>
  <w:style w:type="character" w:customStyle="1" w:styleId="FontStyle1170">
    <w:name w:val="Font Style117"/>
    <w:basedOn w:val="a0"/>
    <w:link w:val="FontStyle117"/>
    <w:rsid w:val="00047AE7"/>
    <w:rPr>
      <w:rFonts w:ascii="Times New Roman" w:hAnsi="Times New Roman"/>
      <w:sz w:val="26"/>
    </w:rPr>
  </w:style>
  <w:style w:type="paragraph" w:styleId="a5">
    <w:name w:val="Body Text Indent"/>
    <w:basedOn w:val="a"/>
    <w:link w:val="a6"/>
    <w:rsid w:val="00047AE7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047AE7"/>
  </w:style>
  <w:style w:type="paragraph" w:styleId="a7">
    <w:name w:val="footer"/>
    <w:basedOn w:val="a"/>
    <w:link w:val="a8"/>
    <w:rsid w:val="00047A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047AE7"/>
  </w:style>
  <w:style w:type="paragraph" w:styleId="23">
    <w:name w:val="Body Text 2"/>
    <w:basedOn w:val="a"/>
    <w:link w:val="24"/>
    <w:rsid w:val="00047AE7"/>
    <w:pPr>
      <w:spacing w:line="360" w:lineRule="auto"/>
      <w:jc w:val="both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047AE7"/>
    <w:rPr>
      <w:rFonts w:ascii="Arial" w:hAnsi="Arial"/>
    </w:rPr>
  </w:style>
  <w:style w:type="paragraph" w:styleId="31">
    <w:name w:val="toc 3"/>
    <w:next w:val="a"/>
    <w:link w:val="32"/>
    <w:uiPriority w:val="39"/>
    <w:rsid w:val="00047A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47AE7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047AE7"/>
    <w:rPr>
      <w:rFonts w:ascii="Cambria" w:hAnsi="Cambria"/>
      <w:color w:val="243F60"/>
    </w:rPr>
  </w:style>
  <w:style w:type="character" w:customStyle="1" w:styleId="11">
    <w:name w:val="Заголовок 1 Знак"/>
    <w:basedOn w:val="1"/>
    <w:link w:val="10"/>
    <w:rsid w:val="00047AE7"/>
    <w:rPr>
      <w:sz w:val="28"/>
    </w:rPr>
  </w:style>
  <w:style w:type="paragraph" w:customStyle="1" w:styleId="13">
    <w:name w:val="Гиперссылка1"/>
    <w:link w:val="a9"/>
    <w:rsid w:val="00047AE7"/>
    <w:rPr>
      <w:color w:val="0000FF"/>
      <w:u w:val="single"/>
    </w:rPr>
  </w:style>
  <w:style w:type="character" w:styleId="a9">
    <w:name w:val="Hyperlink"/>
    <w:link w:val="13"/>
    <w:rsid w:val="00047AE7"/>
    <w:rPr>
      <w:color w:val="0000FF"/>
      <w:u w:val="single"/>
    </w:rPr>
  </w:style>
  <w:style w:type="paragraph" w:customStyle="1" w:styleId="Footnote">
    <w:name w:val="Footnote"/>
    <w:link w:val="Footnote0"/>
    <w:rsid w:val="00047AE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47A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47A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47A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47AE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47A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47A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47AE7"/>
    <w:rPr>
      <w:rFonts w:ascii="XO Thames" w:hAnsi="XO Thames"/>
      <w:sz w:val="28"/>
    </w:rPr>
  </w:style>
  <w:style w:type="paragraph" w:customStyle="1" w:styleId="12">
    <w:name w:val="Основной шрифт абзаца1"/>
    <w:link w:val="aa"/>
    <w:rsid w:val="00047AE7"/>
  </w:style>
  <w:style w:type="paragraph" w:styleId="aa">
    <w:name w:val="Body Text"/>
    <w:basedOn w:val="a"/>
    <w:link w:val="ab"/>
    <w:rsid w:val="00047AE7"/>
    <w:pPr>
      <w:spacing w:after="120"/>
    </w:pPr>
  </w:style>
  <w:style w:type="character" w:customStyle="1" w:styleId="ab">
    <w:name w:val="Основной текст Знак"/>
    <w:basedOn w:val="1"/>
    <w:link w:val="aa"/>
    <w:rsid w:val="00047AE7"/>
  </w:style>
  <w:style w:type="paragraph" w:styleId="8">
    <w:name w:val="toc 8"/>
    <w:next w:val="a"/>
    <w:link w:val="80"/>
    <w:uiPriority w:val="39"/>
    <w:rsid w:val="00047A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47AE7"/>
    <w:rPr>
      <w:rFonts w:ascii="XO Thames" w:hAnsi="XO Thames"/>
      <w:sz w:val="28"/>
    </w:rPr>
  </w:style>
  <w:style w:type="paragraph" w:styleId="ac">
    <w:name w:val="Normal (Web)"/>
    <w:basedOn w:val="a"/>
    <w:link w:val="ad"/>
    <w:rsid w:val="00047AE7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047AE7"/>
  </w:style>
  <w:style w:type="paragraph" w:styleId="51">
    <w:name w:val="toc 5"/>
    <w:next w:val="a"/>
    <w:link w:val="52"/>
    <w:uiPriority w:val="39"/>
    <w:rsid w:val="00047A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47AE7"/>
    <w:rPr>
      <w:rFonts w:ascii="XO Thames" w:hAnsi="XO Thames"/>
      <w:sz w:val="28"/>
    </w:rPr>
  </w:style>
  <w:style w:type="paragraph" w:customStyle="1" w:styleId="Default">
    <w:name w:val="Default"/>
    <w:link w:val="Default0"/>
    <w:rsid w:val="00047AE7"/>
    <w:rPr>
      <w:rFonts w:ascii="Arial" w:hAnsi="Arial"/>
      <w:sz w:val="24"/>
    </w:rPr>
  </w:style>
  <w:style w:type="character" w:customStyle="1" w:styleId="Default0">
    <w:name w:val="Default"/>
    <w:link w:val="Default"/>
    <w:rsid w:val="00047AE7"/>
    <w:rPr>
      <w:rFonts w:ascii="Arial" w:hAnsi="Arial"/>
      <w:color w:val="000000"/>
      <w:sz w:val="24"/>
    </w:rPr>
  </w:style>
  <w:style w:type="paragraph" w:styleId="ae">
    <w:name w:val="Subtitle"/>
    <w:next w:val="a"/>
    <w:link w:val="af"/>
    <w:uiPriority w:val="11"/>
    <w:qFormat/>
    <w:rsid w:val="00047AE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47AE7"/>
    <w:rPr>
      <w:rFonts w:ascii="XO Thames" w:hAnsi="XO Thames"/>
      <w:i/>
      <w:sz w:val="24"/>
    </w:rPr>
  </w:style>
  <w:style w:type="paragraph" w:styleId="af0">
    <w:name w:val="Balloon Text"/>
    <w:basedOn w:val="a"/>
    <w:link w:val="af1"/>
    <w:rsid w:val="00047AE7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047AE7"/>
    <w:rPr>
      <w:rFonts w:ascii="Tahoma" w:hAnsi="Tahoma"/>
      <w:sz w:val="16"/>
    </w:rPr>
  </w:style>
  <w:style w:type="paragraph" w:styleId="af2">
    <w:name w:val="Title"/>
    <w:next w:val="a"/>
    <w:link w:val="af3"/>
    <w:uiPriority w:val="10"/>
    <w:qFormat/>
    <w:rsid w:val="00047A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047A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47AE7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rsid w:val="00047AE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047AE7"/>
    <w:rPr>
      <w:sz w:val="16"/>
    </w:rPr>
  </w:style>
  <w:style w:type="character" w:customStyle="1" w:styleId="20">
    <w:name w:val="Заголовок 2 Знак"/>
    <w:link w:val="2"/>
    <w:rsid w:val="00047AE7"/>
    <w:rPr>
      <w:rFonts w:ascii="XO Thames" w:hAnsi="XO Thames"/>
      <w:b/>
      <w:sz w:val="28"/>
    </w:rPr>
  </w:style>
  <w:style w:type="table" w:styleId="af4">
    <w:name w:val="Table Grid"/>
    <w:basedOn w:val="a1"/>
    <w:rsid w:val="00047A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 Я.</dc:creator>
  <cp:lastModifiedBy>ShvecovaEE</cp:lastModifiedBy>
  <cp:revision>7</cp:revision>
  <cp:lastPrinted>2025-09-01T08:52:00Z</cp:lastPrinted>
  <dcterms:created xsi:type="dcterms:W3CDTF">2025-09-01T08:36:00Z</dcterms:created>
  <dcterms:modified xsi:type="dcterms:W3CDTF">2025-09-01T14:00:00Z</dcterms:modified>
</cp:coreProperties>
</file>