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2C2E9F" w:rsidRDefault="007B6E3F">
      <w:pPr>
        <w:jc w:val="center"/>
        <w:rPr>
          <w:b/>
        </w:rPr>
      </w:pPr>
      <w:r>
        <w:rPr>
          <w:b/>
        </w:rPr>
        <w:t>Заключение о ре</w:t>
      </w:r>
      <w:r w:rsidRPr="002C2E9F">
        <w:rPr>
          <w:b/>
        </w:rPr>
        <w:t>зультатах публичных слушаний</w:t>
      </w:r>
    </w:p>
    <w:p w:rsidR="007B6E3F" w:rsidRPr="002C2E9F" w:rsidRDefault="007B6E3F">
      <w:pPr>
        <w:jc w:val="center"/>
        <w:rPr>
          <w:b/>
        </w:rPr>
      </w:pPr>
    </w:p>
    <w:p w:rsidR="007B6E3F" w:rsidRPr="002C2E9F" w:rsidRDefault="007B6E3F">
      <w:pPr>
        <w:ind w:right="333" w:firstLine="709"/>
        <w:jc w:val="both"/>
      </w:pPr>
      <w:r w:rsidRPr="002C2E9F"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2C2E9F">
        <w:t xml:space="preserve"> </w:t>
      </w:r>
      <w:r w:rsidR="00AB6AEA" w:rsidRPr="00AB6AEA">
        <w:t xml:space="preserve">от 12 сентября 2017 года № 18 </w:t>
      </w:r>
      <w:r w:rsidR="00E1585F" w:rsidRPr="002C2E9F">
        <w:t xml:space="preserve"> </w:t>
      </w:r>
      <w:r w:rsidRPr="002C2E9F">
        <w:t>«О проведении публичных слушаний».</w:t>
      </w:r>
    </w:p>
    <w:p w:rsidR="008F10CF" w:rsidRDefault="00447A43" w:rsidP="00AE4709">
      <w:pPr>
        <w:ind w:right="333" w:firstLine="709"/>
        <w:jc w:val="both"/>
      </w:pPr>
      <w:r>
        <w:t>Дата проведения публичных слушаний:</w:t>
      </w:r>
      <w:r w:rsidR="00AB6AEA">
        <w:t xml:space="preserve"> 27</w:t>
      </w:r>
      <w:r>
        <w:t xml:space="preserve"> </w:t>
      </w:r>
      <w:r w:rsidR="00670B56">
        <w:t>сентября</w:t>
      </w:r>
      <w:r>
        <w:t xml:space="preserve"> 2017 года.</w:t>
      </w:r>
      <w:r w:rsidR="00B619B5">
        <w:t xml:space="preserve"> </w:t>
      </w:r>
      <w:r w:rsidR="007B6E3F">
        <w:t xml:space="preserve">Тема публичных слушаний: </w:t>
      </w:r>
    </w:p>
    <w:p w:rsidR="00D90445" w:rsidRDefault="008F10CF" w:rsidP="00AE4709">
      <w:pPr>
        <w:ind w:right="333" w:firstLine="709"/>
        <w:jc w:val="both"/>
      </w:pPr>
      <w:r>
        <w:t xml:space="preserve">- </w:t>
      </w:r>
      <w:r>
        <w:rPr>
          <w:rFonts w:eastAsia="Calibri"/>
          <w:color w:val="000000"/>
        </w:rPr>
        <w:t>п</w:t>
      </w:r>
      <w:r w:rsidR="00AB6AEA" w:rsidRPr="00AB6AEA">
        <w:rPr>
          <w:rFonts w:eastAsia="Calibri"/>
          <w:color w:val="000000"/>
        </w:rPr>
        <w:t xml:space="preserve">роект межевания территории, ограниченной ул. </w:t>
      </w:r>
      <w:proofErr w:type="spellStart"/>
      <w:r w:rsidR="00AB6AEA" w:rsidRPr="00AB6AEA">
        <w:rPr>
          <w:rFonts w:eastAsia="Calibri"/>
          <w:color w:val="000000"/>
        </w:rPr>
        <w:t>Наумовской</w:t>
      </w:r>
      <w:proofErr w:type="spellEnd"/>
      <w:r w:rsidR="00AB6AEA" w:rsidRPr="00AB6AEA">
        <w:rPr>
          <w:rFonts w:eastAsia="Calibri"/>
          <w:color w:val="000000"/>
        </w:rPr>
        <w:t xml:space="preserve">, ул. </w:t>
      </w:r>
      <w:proofErr w:type="spellStart"/>
      <w:r w:rsidR="00AB6AEA" w:rsidRPr="00AB6AEA">
        <w:rPr>
          <w:rFonts w:eastAsia="Calibri"/>
          <w:color w:val="000000"/>
        </w:rPr>
        <w:t>Рябиновской</w:t>
      </w:r>
      <w:proofErr w:type="spellEnd"/>
      <w:r w:rsidR="00AB6AEA" w:rsidRPr="00AB6AEA">
        <w:rPr>
          <w:rFonts w:eastAsia="Calibri"/>
          <w:color w:val="000000"/>
        </w:rPr>
        <w:t>, ул. им. генерала Захарова Г.Ф. и ул. Алексеевской в Кировском районе города Саратова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119"/>
        <w:gridCol w:w="426"/>
        <w:gridCol w:w="6378"/>
        <w:gridCol w:w="3261"/>
        <w:gridCol w:w="2708"/>
        <w:gridCol w:w="25"/>
      </w:tblGrid>
      <w:tr w:rsidR="007B6E3F" w:rsidTr="00363A1D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 w:rsidP="009B53DE">
            <w:pPr>
              <w:snapToGrid w:val="0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Предложения и рекомендации экспертов, 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ind w:left="142"/>
              <w:jc w:val="center"/>
            </w:pPr>
            <w:r>
              <w:t>Предложение внесено</w:t>
            </w:r>
          </w:p>
          <w:p w:rsidR="007B6E3F" w:rsidRDefault="007B6E3F">
            <w:pPr>
              <w:ind w:left="142"/>
              <w:jc w:val="center"/>
            </w:pPr>
            <w:r>
              <w:t>(поддержано)</w:t>
            </w:r>
          </w:p>
          <w:p w:rsidR="007B6E3F" w:rsidRDefault="007B6E3F">
            <w:pPr>
              <w:ind w:left="142"/>
              <w:jc w:val="center"/>
            </w:pPr>
            <w:r>
              <w:t>Ф.И.О. эксперта, (название организации)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3A57AB" w:rsidRDefault="000E75A5" w:rsidP="000E75A5">
            <w:pPr>
              <w:snapToGrid w:val="0"/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Итоги</w:t>
            </w:r>
          </w:p>
          <w:p w:rsidR="000E75A5" w:rsidRPr="003A57AB" w:rsidRDefault="000E75A5" w:rsidP="000E75A5">
            <w:pPr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рассмотрения</w:t>
            </w:r>
          </w:p>
          <w:p w:rsidR="007B6E3F" w:rsidRPr="006423A8" w:rsidRDefault="000E75A5" w:rsidP="000E75A5">
            <w:pPr>
              <w:jc w:val="center"/>
              <w:rPr>
                <w:b/>
              </w:rPr>
            </w:pPr>
            <w:r w:rsidRPr="003A57AB">
              <w:rPr>
                <w:sz w:val="16"/>
                <w:szCs w:val="16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Default="007B6E3F">
            <w:pPr>
              <w:snapToGrid w:val="0"/>
            </w:pPr>
          </w:p>
          <w:p w:rsidR="008D489E" w:rsidRDefault="008D489E">
            <w:pPr>
              <w:snapToGrid w:val="0"/>
            </w:pPr>
          </w:p>
        </w:tc>
      </w:tr>
      <w:tr w:rsidR="00BD6BD4" w:rsidTr="00363A1D">
        <w:trPr>
          <w:trHeight w:val="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9B53DE">
            <w:pPr>
              <w:snapToGrid w:val="0"/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AB6AEA" w:rsidP="00AB6AEA">
            <w:pPr>
              <w:snapToGrid w:val="0"/>
            </w:pPr>
            <w:r>
              <w:rPr>
                <w:rFonts w:eastAsia="Calibri"/>
                <w:color w:val="000000"/>
              </w:rPr>
              <w:t>П</w:t>
            </w:r>
            <w:r w:rsidRPr="00AB6AEA">
              <w:rPr>
                <w:rFonts w:eastAsia="Calibri"/>
                <w:color w:val="000000"/>
              </w:rPr>
              <w:t xml:space="preserve">роект межевания территории, ограниченной ул. </w:t>
            </w:r>
            <w:proofErr w:type="spellStart"/>
            <w:r w:rsidRPr="00AB6AEA">
              <w:rPr>
                <w:rFonts w:eastAsia="Calibri"/>
                <w:color w:val="000000"/>
              </w:rPr>
              <w:t>Наумовской</w:t>
            </w:r>
            <w:proofErr w:type="spellEnd"/>
            <w:r w:rsidRPr="00AB6AEA">
              <w:rPr>
                <w:rFonts w:eastAsia="Calibri"/>
                <w:color w:val="000000"/>
              </w:rPr>
              <w:t xml:space="preserve">, ул. </w:t>
            </w:r>
            <w:proofErr w:type="spellStart"/>
            <w:r w:rsidRPr="00AB6AEA">
              <w:rPr>
                <w:rFonts w:eastAsia="Calibri"/>
                <w:color w:val="000000"/>
              </w:rPr>
              <w:t>Рябиновской</w:t>
            </w:r>
            <w:proofErr w:type="spellEnd"/>
            <w:r w:rsidRPr="00AB6AEA">
              <w:rPr>
                <w:rFonts w:eastAsia="Calibri"/>
                <w:color w:val="000000"/>
              </w:rPr>
              <w:t>, ул. им. генерала Захарова Г.Ф. и ул. Алексеевской в Кировском районе города Саратова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4A" w:rsidRDefault="00B60954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363A1D" w:rsidRDefault="00363A1D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A3656D" w:rsidRDefault="00A3656D" w:rsidP="00363A1D">
            <w:pPr>
              <w:snapToGrid w:val="0"/>
              <w:rPr>
                <w:sz w:val="21"/>
                <w:szCs w:val="21"/>
              </w:rPr>
            </w:pPr>
          </w:p>
          <w:p w:rsidR="00A3656D" w:rsidRDefault="00A3656D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F10CF" w:rsidRDefault="008F10CF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363A1D" w:rsidRDefault="00363A1D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72C4C" w:rsidRDefault="00B72C4C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42BDF" w:rsidRPr="00953220" w:rsidRDefault="00042BDF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54" w:rsidRPr="00953220" w:rsidRDefault="00B60954" w:rsidP="00B60954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lastRenderedPageBreak/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F777C6" w:rsidRDefault="00F777C6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60954" w:rsidRDefault="008F10CF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  <w:r w:rsidR="00B60954"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63A1D" w:rsidRDefault="00363A1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63A1D" w:rsidRDefault="00363A1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Pr="00953220" w:rsidRDefault="00452365" w:rsidP="00452365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Default="00685C79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685C79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8F10CF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A3656D" w:rsidRDefault="00A3656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A3656D" w:rsidRDefault="00A3656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8F10CF" w:rsidRDefault="00A3656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Определить разрешенный вид использования ЗУ 10 и ЗУ 15 по проекту межевания как многоэтажная (многоквартирная) жилая застройка (многоквартирные дома от 9 этажей и выше со встроенными и (или) встроенно-пристроенными нежилыми помещениями) для дальнейшего привлечения инвестора с целью достройки б/с 1А, расположенной на ЗУ 3</w:t>
            </w:r>
          </w:p>
          <w:p w:rsidR="002D236D" w:rsidRDefault="002D236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2D236D" w:rsidRDefault="002D236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14 сентября 2017 года</w:t>
            </w:r>
          </w:p>
          <w:p w:rsidR="00363A1D" w:rsidRDefault="00363A1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97D24" w:rsidRDefault="00B72C4C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Прошу Вас отложить дату проведения публичных слушаний в связи с тем, что по нашему предложению проект</w:t>
            </w:r>
            <w:r w:rsidR="00697D24">
              <w:rPr>
                <w:bCs/>
                <w:sz w:val="21"/>
                <w:szCs w:val="21"/>
              </w:rPr>
              <w:t xml:space="preserve"> межевания земельного участка ЖСК «Оптимист»-2000» б/с 2А, 2Б не соответствует действующим нормам и правилам для обслуживания и эксплуатации строящего дома и введение его в эксплуатацию.</w:t>
            </w:r>
          </w:p>
          <w:p w:rsidR="00F15215" w:rsidRDefault="00F1521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proofErr w:type="gramStart"/>
            <w:r>
              <w:rPr>
                <w:bCs/>
                <w:sz w:val="21"/>
                <w:szCs w:val="21"/>
              </w:rPr>
              <w:t>Координаты, выложенные на сайте</w:t>
            </w:r>
            <w:r w:rsidR="00D00FB4">
              <w:rPr>
                <w:bCs/>
                <w:sz w:val="21"/>
                <w:szCs w:val="21"/>
              </w:rPr>
              <w:t xml:space="preserve"> в материалах публичных слушаний были</w:t>
            </w:r>
            <w:proofErr w:type="gramEnd"/>
            <w:r w:rsidR="00D00FB4">
              <w:rPr>
                <w:bCs/>
                <w:sz w:val="21"/>
                <w:szCs w:val="21"/>
              </w:rPr>
              <w:t xml:space="preserve"> представлены с опозданием и не в полном объеме, так как участок с кадастровым номером 64:48:030310:9 делится по проекту межевания на 16 участков с выделением из них дополнительных участков под сервитуты. В частности отсутствуют координаты на ЗУ-10-16. </w:t>
            </w:r>
          </w:p>
          <w:p w:rsidR="00D00FB4" w:rsidRDefault="00D00FB4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Просим объяснить действия сервитута на участке ЗУ-11</w:t>
            </w:r>
            <w:r w:rsidR="005B67F5">
              <w:rPr>
                <w:bCs/>
                <w:sz w:val="21"/>
                <w:szCs w:val="21"/>
              </w:rPr>
              <w:t>/ЧЗУ</w:t>
            </w:r>
            <w:proofErr w:type="gramStart"/>
            <w:r w:rsidR="005B67F5">
              <w:rPr>
                <w:bCs/>
                <w:sz w:val="21"/>
                <w:szCs w:val="21"/>
              </w:rPr>
              <w:t>1</w:t>
            </w:r>
            <w:proofErr w:type="gramEnd"/>
            <w:r w:rsidR="005B67F5">
              <w:rPr>
                <w:bCs/>
                <w:sz w:val="21"/>
                <w:szCs w:val="21"/>
              </w:rPr>
              <w:t xml:space="preserve"> внутри трансформаторной подстанции.</w:t>
            </w:r>
          </w:p>
          <w:p w:rsidR="00042BDF" w:rsidRDefault="00042BDF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42BDF" w:rsidRDefault="00042BDF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 сентября 2017 года</w:t>
            </w:r>
          </w:p>
          <w:p w:rsidR="008F10CF" w:rsidRDefault="008F10CF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63A1D" w:rsidRDefault="00363A1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63A1D" w:rsidRDefault="00363A1D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2A1590" w:rsidRDefault="002A1590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2A1590" w:rsidRDefault="002A1590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ЖСК «Оптимист-2000» на данном этапе находится в стадии наблюдения.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 xml:space="preserve">Изучив материалы межевания территории ЖСК «Оптимист» с кадастровым номером 64:48:03 03 10:09, находящегося в границах ул. </w:t>
            </w:r>
            <w:proofErr w:type="spellStart"/>
            <w:r w:rsidRPr="00363A1D">
              <w:rPr>
                <w:bCs/>
                <w:sz w:val="21"/>
                <w:szCs w:val="21"/>
              </w:rPr>
              <w:t>Наумовской</w:t>
            </w:r>
            <w:proofErr w:type="spellEnd"/>
            <w:r w:rsidRPr="00363A1D">
              <w:rPr>
                <w:bCs/>
                <w:sz w:val="21"/>
                <w:szCs w:val="21"/>
              </w:rPr>
              <w:t xml:space="preserve">, ул. </w:t>
            </w:r>
            <w:proofErr w:type="spellStart"/>
            <w:r w:rsidRPr="00363A1D">
              <w:rPr>
                <w:bCs/>
                <w:sz w:val="21"/>
                <w:szCs w:val="21"/>
              </w:rPr>
              <w:t>Рябиновской</w:t>
            </w:r>
            <w:proofErr w:type="spellEnd"/>
            <w:r w:rsidRPr="00363A1D">
              <w:rPr>
                <w:bCs/>
                <w:sz w:val="21"/>
                <w:szCs w:val="21"/>
              </w:rPr>
              <w:t xml:space="preserve">, ул. </w:t>
            </w:r>
            <w:proofErr w:type="spellStart"/>
            <w:r w:rsidRPr="00363A1D">
              <w:rPr>
                <w:bCs/>
                <w:sz w:val="21"/>
                <w:szCs w:val="21"/>
              </w:rPr>
              <w:t>им</w:t>
            </w:r>
            <w:proofErr w:type="gramStart"/>
            <w:r w:rsidRPr="00363A1D">
              <w:rPr>
                <w:bCs/>
                <w:sz w:val="21"/>
                <w:szCs w:val="21"/>
              </w:rPr>
              <w:t>.г</w:t>
            </w:r>
            <w:proofErr w:type="gramEnd"/>
            <w:r w:rsidRPr="00363A1D">
              <w:rPr>
                <w:bCs/>
                <w:sz w:val="21"/>
                <w:szCs w:val="21"/>
              </w:rPr>
              <w:t>енерала</w:t>
            </w:r>
            <w:proofErr w:type="spellEnd"/>
            <w:r w:rsidRPr="00363A1D">
              <w:rPr>
                <w:bCs/>
                <w:sz w:val="21"/>
                <w:szCs w:val="21"/>
              </w:rPr>
              <w:t xml:space="preserve"> Захарова Г.Ф. и ул. Алексеевской в Кировском районе г. Саратова, представленные на официальном сайте и приняв во внимание интересы собственников помещений в многоквартирных домах завершенного строительства и иных объектов недвижимости, мы дольщики и кредиторы ЖСК "Оптимист-2000", б/с 2А и 2Б просим Вас при принятии решения по вопросу межевания данного участка принять во внимание: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  <w:r w:rsidRPr="00363A1D">
              <w:rPr>
                <w:b/>
                <w:bCs/>
                <w:sz w:val="21"/>
                <w:szCs w:val="21"/>
              </w:rPr>
              <w:t>Возражения по форме: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1)</w:t>
            </w:r>
            <w:r w:rsidRPr="00363A1D">
              <w:rPr>
                <w:bCs/>
                <w:sz w:val="21"/>
                <w:szCs w:val="21"/>
              </w:rPr>
              <w:tab/>
            </w:r>
            <w:proofErr w:type="gramStart"/>
            <w:r w:rsidRPr="00363A1D">
              <w:rPr>
                <w:bCs/>
                <w:sz w:val="21"/>
                <w:szCs w:val="21"/>
              </w:rPr>
              <w:t>Все документы, представленные на официальном сайте должны быть подтверждены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подписью и печатью исполнителя. В данном случае подпись и печать отсутствуют.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2)</w:t>
            </w:r>
            <w:r w:rsidRPr="00363A1D">
              <w:rPr>
                <w:bCs/>
                <w:sz w:val="21"/>
                <w:szCs w:val="21"/>
              </w:rPr>
              <w:tab/>
              <w:t>Отсутствует постановление администрации и техническое задание на подготовку ПМТ.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lastRenderedPageBreak/>
              <w:t>3)</w:t>
            </w:r>
            <w:r w:rsidRPr="00363A1D">
              <w:rPr>
                <w:bCs/>
                <w:sz w:val="21"/>
                <w:szCs w:val="21"/>
              </w:rPr>
              <w:tab/>
              <w:t>Так же в документах, представленных на официальном сайте, отсутствует оформленное по форме межевое дело за подписью и печатью кадастрового инженера, которое гарантирует точное (не условное) проведение границ участка и тем самым при дальнейшем строительстве исключает нарушение регламента строительства и не возможности, в связи с этим, сдать объект в эксплуатацию.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4)</w:t>
            </w:r>
            <w:r w:rsidRPr="00363A1D">
              <w:rPr>
                <w:bCs/>
                <w:sz w:val="21"/>
                <w:szCs w:val="21"/>
              </w:rPr>
              <w:tab/>
              <w:t>Отсутствует акт согласования местоположения границ с лицами, обладающими смежными земельными участками на праве собственности или аренды.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5)</w:t>
            </w:r>
            <w:r w:rsidRPr="00363A1D">
              <w:rPr>
                <w:bCs/>
                <w:sz w:val="21"/>
                <w:szCs w:val="21"/>
              </w:rPr>
              <w:tab/>
              <w:t>В представленной текстовой части п. 2.2</w:t>
            </w:r>
            <w:r>
              <w:rPr>
                <w:bCs/>
                <w:sz w:val="21"/>
                <w:szCs w:val="21"/>
              </w:rPr>
              <w:t xml:space="preserve">. указаны цели и задачи </w:t>
            </w:r>
            <w:r w:rsidRPr="00363A1D">
              <w:rPr>
                <w:bCs/>
                <w:sz w:val="21"/>
                <w:szCs w:val="21"/>
              </w:rPr>
              <w:t>межевания:</w:t>
            </w:r>
            <w:r w:rsidRPr="00363A1D">
              <w:rPr>
                <w:bCs/>
                <w:sz w:val="21"/>
                <w:szCs w:val="21"/>
              </w:rPr>
              <w:tab/>
              <w:t>«Межевание осущест</w:t>
            </w:r>
            <w:r>
              <w:rPr>
                <w:bCs/>
                <w:sz w:val="21"/>
                <w:szCs w:val="21"/>
              </w:rPr>
              <w:t xml:space="preserve">вляется для установления границ </w:t>
            </w:r>
            <w:r w:rsidRPr="00363A1D">
              <w:rPr>
                <w:bCs/>
                <w:sz w:val="21"/>
                <w:szCs w:val="21"/>
              </w:rPr>
              <w:t>земельных участков, планируемых для предоставления юридическим лицам для строительства». Просим продолжить те</w:t>
            </w:r>
            <w:proofErr w:type="gramStart"/>
            <w:r w:rsidRPr="00363A1D">
              <w:rPr>
                <w:bCs/>
                <w:sz w:val="21"/>
                <w:szCs w:val="21"/>
              </w:rPr>
              <w:t>кст стр</w:t>
            </w:r>
            <w:proofErr w:type="gramEnd"/>
            <w:r w:rsidRPr="00363A1D">
              <w:rPr>
                <w:bCs/>
                <w:sz w:val="21"/>
                <w:szCs w:val="21"/>
              </w:rPr>
              <w:t>очкой: «и сдачи, вновь построенных объектов в эксплуатацию».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  <w:r w:rsidRPr="00363A1D">
              <w:rPr>
                <w:b/>
                <w:bCs/>
                <w:sz w:val="21"/>
                <w:szCs w:val="21"/>
              </w:rPr>
              <w:t>Возражения по существу: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proofErr w:type="gramStart"/>
            <w:r w:rsidRPr="00363A1D">
              <w:rPr>
                <w:bCs/>
                <w:sz w:val="21"/>
                <w:szCs w:val="21"/>
              </w:rPr>
              <w:t>В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363A1D">
              <w:rPr>
                <w:bCs/>
                <w:sz w:val="21"/>
                <w:szCs w:val="21"/>
              </w:rPr>
              <w:t>соответствий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с </w:t>
            </w:r>
            <w:proofErr w:type="spellStart"/>
            <w:r w:rsidRPr="00363A1D">
              <w:rPr>
                <w:bCs/>
                <w:sz w:val="21"/>
                <w:szCs w:val="21"/>
              </w:rPr>
              <w:t>п.п</w:t>
            </w:r>
            <w:proofErr w:type="spellEnd"/>
            <w:r w:rsidRPr="00363A1D">
              <w:rPr>
                <w:bCs/>
                <w:sz w:val="21"/>
                <w:szCs w:val="21"/>
              </w:rPr>
              <w:t>. 3, 4 ст. 1 ГК РФ при установлении,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добросовестно. Никто не вправе извлекать преимущество из своего незаконного или недобросовестного поведения.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1)</w:t>
            </w:r>
            <w:r w:rsidRPr="00363A1D">
              <w:rPr>
                <w:bCs/>
                <w:sz w:val="21"/>
                <w:szCs w:val="21"/>
              </w:rPr>
              <w:tab/>
              <w:t xml:space="preserve">Просьба подтвердить правоустанавливающими и </w:t>
            </w:r>
            <w:proofErr w:type="spellStart"/>
            <w:r w:rsidRPr="00363A1D">
              <w:rPr>
                <w:bCs/>
                <w:sz w:val="21"/>
                <w:szCs w:val="21"/>
              </w:rPr>
              <w:t>правоподтверждающими</w:t>
            </w:r>
            <w:proofErr w:type="spellEnd"/>
            <w:r w:rsidRPr="00363A1D">
              <w:rPr>
                <w:bCs/>
                <w:sz w:val="21"/>
                <w:szCs w:val="21"/>
              </w:rPr>
              <w:t xml:space="preserve"> документами, законность проектных границ межевания малоэтажных строений, из-за которых проект межевания предыдущих слушаний был отправлен на доработку.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2)</w:t>
            </w:r>
            <w:r w:rsidRPr="00363A1D">
              <w:rPr>
                <w:bCs/>
                <w:sz w:val="21"/>
                <w:szCs w:val="21"/>
              </w:rPr>
              <w:tab/>
              <w:t>В представленном плане межевания в о</w:t>
            </w:r>
            <w:r w:rsidR="007B7149">
              <w:rPr>
                <w:bCs/>
                <w:sz w:val="21"/>
                <w:szCs w:val="21"/>
              </w:rPr>
              <w:t xml:space="preserve">тношении участков ЗУ 11, ЗУ 14, </w:t>
            </w:r>
            <w:r w:rsidRPr="00363A1D">
              <w:rPr>
                <w:bCs/>
                <w:sz w:val="21"/>
                <w:szCs w:val="21"/>
              </w:rPr>
              <w:t>ЗУ 15 не отражены данные о проходах и проездах.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proofErr w:type="gramStart"/>
            <w:r w:rsidRPr="00363A1D">
              <w:rPr>
                <w:bCs/>
                <w:sz w:val="21"/>
                <w:szCs w:val="21"/>
              </w:rPr>
              <w:t>В ч. 2.1 ст. 26 Федерального закона от 24 июля 2007 г. № 221-ФЗ «О государственном кадастре недвижимости» установлено, что орган кадастрового учета принимает решение о приостановлении осуществления постановки на учет земельного участка также в случае, если доступ (проход или проезд от земельных участков общего пользования) к образуемому или изменяемому земельному участку не будет обеспечен.</w:t>
            </w:r>
            <w:proofErr w:type="gramEnd"/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3)</w:t>
            </w:r>
            <w:r w:rsidRPr="00363A1D">
              <w:rPr>
                <w:bCs/>
                <w:sz w:val="21"/>
                <w:szCs w:val="21"/>
              </w:rPr>
              <w:tab/>
              <w:t xml:space="preserve">В образуемое землепользование не включают проезды, имеющие связь с городской улично-дорожной сетью. Таким образом, просим выделить элементы дорожной сети </w:t>
            </w:r>
            <w:proofErr w:type="gramStart"/>
            <w:r w:rsidRPr="00363A1D">
              <w:rPr>
                <w:bCs/>
                <w:sz w:val="21"/>
                <w:szCs w:val="21"/>
              </w:rPr>
              <w:t xml:space="preserve">( 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проезды и разворотные площадки ), а именно ЗУ9/ЧЗУ1 и ЗУ9//ЧЗУ2; </w:t>
            </w:r>
            <w:r w:rsidRPr="00363A1D">
              <w:rPr>
                <w:bCs/>
                <w:sz w:val="21"/>
                <w:szCs w:val="21"/>
              </w:rPr>
              <w:lastRenderedPageBreak/>
              <w:t>ЗУ10/ЧЗУ1 и ЗУ10/ЧЗУ2; ЗУ11/ЧЗУ1 как муниципальные земли общего пользования из предлагаемых участков ЗУ9 и ЗУ 10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4)</w:t>
            </w:r>
            <w:r w:rsidRPr="00363A1D">
              <w:rPr>
                <w:bCs/>
                <w:sz w:val="21"/>
                <w:szCs w:val="21"/>
              </w:rPr>
              <w:tab/>
              <w:t xml:space="preserve">Согласно ответам Администрации муниципального образования «город Саратов» </w:t>
            </w:r>
            <w:proofErr w:type="gramStart"/>
            <w:r w:rsidRPr="00363A1D">
              <w:rPr>
                <w:bCs/>
                <w:sz w:val="21"/>
                <w:szCs w:val="21"/>
              </w:rPr>
              <w:t>дольщикам б</w:t>
            </w:r>
            <w:proofErr w:type="gramEnd"/>
            <w:r w:rsidRPr="00363A1D">
              <w:rPr>
                <w:bCs/>
                <w:sz w:val="21"/>
                <w:szCs w:val="21"/>
              </w:rPr>
              <w:t>/с 2А,2Б: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 xml:space="preserve">«...строительство 14-ти </w:t>
            </w:r>
            <w:proofErr w:type="spellStart"/>
            <w:r w:rsidRPr="00363A1D">
              <w:rPr>
                <w:bCs/>
                <w:sz w:val="21"/>
                <w:szCs w:val="21"/>
              </w:rPr>
              <w:t>эт</w:t>
            </w:r>
            <w:proofErr w:type="spellEnd"/>
            <w:r w:rsidRPr="00363A1D">
              <w:rPr>
                <w:bCs/>
                <w:sz w:val="21"/>
                <w:szCs w:val="21"/>
              </w:rPr>
              <w:t xml:space="preserve">. Дома 2А,2Б ведется на основании разрешений на строительство ...» </w:t>
            </w:r>
          </w:p>
          <w:p w:rsidR="001C75B2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 xml:space="preserve">«...в состав пакета документов необходимых для выдачи разрешений на строительство входит проектная документация на строительство рассматриваемых </w:t>
            </w:r>
            <w:proofErr w:type="gramStart"/>
            <w:r w:rsidRPr="00363A1D">
              <w:rPr>
                <w:bCs/>
                <w:sz w:val="21"/>
                <w:szCs w:val="21"/>
              </w:rPr>
              <w:t>блок-секций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многоэтажного дома...»</w:t>
            </w:r>
            <w:r w:rsidR="001C75B2">
              <w:rPr>
                <w:bCs/>
                <w:sz w:val="21"/>
                <w:szCs w:val="21"/>
              </w:rPr>
              <w:t>.</w:t>
            </w:r>
            <w:r w:rsidRPr="00363A1D">
              <w:rPr>
                <w:bCs/>
                <w:sz w:val="21"/>
                <w:szCs w:val="21"/>
              </w:rPr>
              <w:t xml:space="preserve"> 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Так же есть заключение государственной экспертизы на проектную документацию по секциям 2А,2Б, в том числе и на раздел «благоустройство».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Существующий в рамках утвержденного проекта раздел: «План земельного устройства» (ПЗУ) в части благоустройства территории и организации дорожной сети является единственным согласованным документом развития территории для данного 4-х секционного дома.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Таким образом, для продолжения строительства б/с 2А,2Б и возможности последующей сдачи данных секций в ЭКСПЛУАТАЦИЮ (чтобы дом не стал виртуальным как «дом на Ипподроме»), просим ЗУ 9 в отношении границ с ЗУ 4 и ЗУ 10 привести в соответствие: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 xml:space="preserve">&gt; С градостроительными нормами и пожарным </w:t>
            </w:r>
            <w:r w:rsidR="001C75B2">
              <w:rPr>
                <w:bCs/>
                <w:sz w:val="21"/>
                <w:szCs w:val="21"/>
              </w:rPr>
              <w:t>регламентом.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 xml:space="preserve">&gt; С утвержденным проектом </w:t>
            </w:r>
            <w:proofErr w:type="gramStart"/>
            <w:r w:rsidRPr="00363A1D">
              <w:rPr>
                <w:bCs/>
                <w:sz w:val="21"/>
                <w:szCs w:val="21"/>
              </w:rPr>
              <w:t>на б</w:t>
            </w:r>
            <w:proofErr w:type="gramEnd"/>
            <w:r w:rsidRPr="00363A1D">
              <w:rPr>
                <w:bCs/>
                <w:sz w:val="21"/>
                <w:szCs w:val="21"/>
              </w:rPr>
              <w:t>/с 2А,2Б, который про</w:t>
            </w:r>
            <w:r w:rsidR="001C75B2">
              <w:rPr>
                <w:bCs/>
                <w:sz w:val="21"/>
                <w:szCs w:val="21"/>
              </w:rPr>
              <w:t xml:space="preserve">шел государственную экспертизу </w:t>
            </w:r>
            <w:r w:rsidRPr="00363A1D">
              <w:rPr>
                <w:bCs/>
                <w:sz w:val="21"/>
                <w:szCs w:val="21"/>
              </w:rPr>
              <w:t>и на основании которого были получены разрешения на строительство данных секций. В соответствии с разделом «план земельного участка» («ПЗУ»), предусмотреть (отобразить) на плане межевания проезды (в частности въездную зону) с разворотными площадками, а так же элементы благоустройства и озеленения. В том числе, дольщики и кредиторы обеспокоены наличием газовой трубы, которая по факту была проведена со</w:t>
            </w:r>
            <w:r w:rsidR="007B7149">
              <w:rPr>
                <w:bCs/>
                <w:sz w:val="21"/>
                <w:szCs w:val="21"/>
              </w:rPr>
              <w:t>бственниками дома ЗУ</w:t>
            </w:r>
            <w:proofErr w:type="gramStart"/>
            <w:r w:rsidR="007B7149">
              <w:rPr>
                <w:bCs/>
                <w:sz w:val="21"/>
                <w:szCs w:val="21"/>
              </w:rPr>
              <w:t>4</w:t>
            </w:r>
            <w:proofErr w:type="gramEnd"/>
            <w:r w:rsidR="007B7149">
              <w:rPr>
                <w:bCs/>
                <w:sz w:val="21"/>
                <w:szCs w:val="21"/>
              </w:rPr>
              <w:t xml:space="preserve"> вопреки </w:t>
            </w:r>
            <w:r w:rsidRPr="00363A1D">
              <w:rPr>
                <w:bCs/>
                <w:sz w:val="21"/>
                <w:szCs w:val="21"/>
              </w:rPr>
              <w:t>генеральному плану и другой сопроводительной документации, и препятствует решению данного вопроса.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 xml:space="preserve">&gt; Площадь ЗУ 9 проектная-2658м2 не соответствует </w:t>
            </w:r>
            <w:proofErr w:type="gramStart"/>
            <w:r w:rsidRPr="00363A1D">
              <w:rPr>
                <w:bCs/>
                <w:sz w:val="21"/>
                <w:szCs w:val="21"/>
              </w:rPr>
              <w:t>расчетной</w:t>
            </w:r>
            <w:proofErr w:type="gramEnd"/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площади=3156м2, представленной в материалах предыдущих слушаний по Удельному показателю земельной доли для 14-ти эт</w:t>
            </w:r>
            <w:proofErr w:type="gramStart"/>
            <w:r w:rsidRPr="00363A1D">
              <w:rPr>
                <w:bCs/>
                <w:sz w:val="21"/>
                <w:szCs w:val="21"/>
              </w:rPr>
              <w:t>.д</w:t>
            </w:r>
            <w:proofErr w:type="gramEnd"/>
            <w:r w:rsidRPr="00363A1D">
              <w:rPr>
                <w:bCs/>
                <w:sz w:val="21"/>
                <w:szCs w:val="21"/>
              </w:rPr>
              <w:t>ома~0.49. Так же очевидна диспропорция площади участков ЗУ</w:t>
            </w:r>
            <w:proofErr w:type="gramStart"/>
            <w:r w:rsidRPr="00363A1D">
              <w:rPr>
                <w:bCs/>
                <w:sz w:val="21"/>
                <w:szCs w:val="21"/>
              </w:rPr>
              <w:t>9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(2е секции)=2658м2 и ЗУ10(1а секция)-2157м2 . Просим устранить диспропорцию и убрать из-под окон спален и однокомнатных </w:t>
            </w:r>
            <w:r w:rsidRPr="00363A1D">
              <w:rPr>
                <w:bCs/>
                <w:sz w:val="21"/>
                <w:szCs w:val="21"/>
              </w:rPr>
              <w:lastRenderedPageBreak/>
              <w:t>квартир б/с 26 (ЗУ9) парковку, в координатах б/с 26 (ЗУ9) которая по схеме межевания принадлежит ЗУ 10.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5)</w:t>
            </w:r>
            <w:r w:rsidRPr="00363A1D">
              <w:rPr>
                <w:bCs/>
                <w:sz w:val="21"/>
                <w:szCs w:val="21"/>
              </w:rPr>
              <w:tab/>
              <w:t>Просим разъяснить что подразумевается под ЗУ 11/ЧЗУ</w:t>
            </w:r>
            <w:proofErr w:type="gramStart"/>
            <w:r w:rsidRPr="00363A1D">
              <w:rPr>
                <w:bCs/>
                <w:sz w:val="21"/>
                <w:szCs w:val="21"/>
              </w:rPr>
              <w:t>1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(территория общего пользования внутри подстанции?)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Существенным фактом является наличие в границах предполагаемого участка под бло</w:t>
            </w:r>
            <w:proofErr w:type="gramStart"/>
            <w:r w:rsidRPr="00363A1D">
              <w:rPr>
                <w:bCs/>
                <w:sz w:val="21"/>
                <w:szCs w:val="21"/>
              </w:rPr>
              <w:t>к-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секциями 2А,2Б участка с кадастровым номером 64:48:030310:</w:t>
            </w:r>
            <w:r w:rsidR="001C75B2">
              <w:rPr>
                <w:bCs/>
                <w:sz w:val="21"/>
                <w:szCs w:val="21"/>
              </w:rPr>
              <w:t>10,</w:t>
            </w:r>
            <w:r w:rsidRPr="00363A1D">
              <w:rPr>
                <w:bCs/>
                <w:sz w:val="21"/>
                <w:szCs w:val="21"/>
              </w:rPr>
              <w:t xml:space="preserve"> который не снят с кадастрового учёта. В соответствии с законом о кадастре нельзя выносить на слушания проект т.к. этот участок попадает на 2 участка. Существует вероятность наложения границ.</w:t>
            </w:r>
          </w:p>
          <w:p w:rsidR="00363A1D" w:rsidRPr="00363A1D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Данные замечания были перечислены и направлены в Комиссию по вопросам землепользования и застройки муниципального образования «Город Саратов». Данное заявление зарегистрировано 01.06.2017г., но от</w:t>
            </w:r>
            <w:r w:rsidR="001C75B2">
              <w:rPr>
                <w:bCs/>
                <w:sz w:val="21"/>
                <w:szCs w:val="21"/>
              </w:rPr>
              <w:t>вета до сих пор не последовало</w:t>
            </w:r>
            <w:proofErr w:type="gramStart"/>
            <w:r w:rsidR="001C75B2">
              <w:rPr>
                <w:bCs/>
                <w:sz w:val="21"/>
                <w:szCs w:val="21"/>
              </w:rPr>
              <w:t xml:space="preserve"> </w:t>
            </w:r>
            <w:r w:rsidRPr="00363A1D">
              <w:rPr>
                <w:bCs/>
                <w:sz w:val="21"/>
                <w:szCs w:val="21"/>
              </w:rPr>
              <w:t>.</w:t>
            </w:r>
            <w:proofErr w:type="gramEnd"/>
            <w:r w:rsidRPr="00363A1D">
              <w:rPr>
                <w:bCs/>
                <w:sz w:val="21"/>
                <w:szCs w:val="21"/>
              </w:rPr>
              <w:t xml:space="preserve"> На заседании комиссии 28.08.2017г. данные замечания не подробно не рассматривались и в протокол комиссии внесены не были.</w:t>
            </w:r>
          </w:p>
          <w:p w:rsidR="00042BDF" w:rsidRDefault="00363A1D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63A1D">
              <w:rPr>
                <w:bCs/>
                <w:sz w:val="21"/>
                <w:szCs w:val="21"/>
              </w:rPr>
              <w:t>Просим учесть все возражения и доводы, и отложить дату публичных слушаний до устранения вышеперечисленных замечаний и подробного разъяснения по каждому пункту.</w:t>
            </w:r>
          </w:p>
          <w:p w:rsidR="00866ECE" w:rsidRDefault="00866ECE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866ECE" w:rsidRPr="00685C79" w:rsidRDefault="00866ECE" w:rsidP="00363A1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 сентября 2017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54" w:rsidRPr="00953220" w:rsidRDefault="00B60954" w:rsidP="00B60954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F777C6" w:rsidRDefault="00B60954" w:rsidP="00B60954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452365" w:rsidRDefault="00452365" w:rsidP="00B60954">
            <w:pPr>
              <w:snapToGrid w:val="0"/>
            </w:pPr>
          </w:p>
          <w:p w:rsidR="00685C79" w:rsidRPr="00953220" w:rsidRDefault="00685C79" w:rsidP="00685C79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685C79">
            <w:pPr>
              <w:snapToGrid w:val="0"/>
            </w:pPr>
            <w:r>
              <w:t>Е.Г. Шустова</w:t>
            </w:r>
          </w:p>
          <w:p w:rsidR="00685C79" w:rsidRDefault="00685C79" w:rsidP="00B60954">
            <w:pPr>
              <w:snapToGrid w:val="0"/>
            </w:pPr>
          </w:p>
          <w:p w:rsidR="007D321B" w:rsidRDefault="007D321B" w:rsidP="00B60954">
            <w:pPr>
              <w:snapToGrid w:val="0"/>
            </w:pPr>
          </w:p>
          <w:p w:rsidR="007D321B" w:rsidRDefault="007D321B" w:rsidP="00B60954">
            <w:pPr>
              <w:snapToGrid w:val="0"/>
            </w:pPr>
          </w:p>
          <w:p w:rsidR="007D321B" w:rsidRDefault="007D321B" w:rsidP="00B60954">
            <w:pPr>
              <w:snapToGrid w:val="0"/>
            </w:pPr>
            <w:r>
              <w:t>Инициативная группа дольщиков ЖСК «Оптимист-2000» блок-секции 1</w:t>
            </w:r>
            <w:proofErr w:type="gramStart"/>
            <w:r>
              <w:t xml:space="preserve"> А</w:t>
            </w:r>
            <w:proofErr w:type="gramEnd"/>
            <w:r>
              <w:t xml:space="preserve">: Беличенко Ю.В., Казаков Ю.Н., </w:t>
            </w:r>
            <w:proofErr w:type="spellStart"/>
            <w:r>
              <w:t>Перфилова</w:t>
            </w:r>
            <w:proofErr w:type="spellEnd"/>
            <w:r>
              <w:t xml:space="preserve"> Г.И., Булатова А.Г., Приходченко А.А.</w:t>
            </w:r>
          </w:p>
          <w:p w:rsidR="00B72C4C" w:rsidRDefault="00B72C4C" w:rsidP="00B60954">
            <w:pPr>
              <w:snapToGrid w:val="0"/>
            </w:pPr>
          </w:p>
          <w:p w:rsidR="00B72C4C" w:rsidRDefault="00B72C4C" w:rsidP="00B60954">
            <w:pPr>
              <w:snapToGrid w:val="0"/>
            </w:pPr>
          </w:p>
          <w:p w:rsidR="00B72C4C" w:rsidRDefault="00B72C4C" w:rsidP="00B60954">
            <w:pPr>
              <w:snapToGrid w:val="0"/>
            </w:pPr>
          </w:p>
          <w:p w:rsidR="00B72C4C" w:rsidRDefault="00B72C4C" w:rsidP="00B60954">
            <w:pPr>
              <w:snapToGrid w:val="0"/>
            </w:pPr>
          </w:p>
          <w:p w:rsidR="00363A1D" w:rsidRDefault="00363A1D" w:rsidP="00B60954">
            <w:pPr>
              <w:snapToGrid w:val="0"/>
            </w:pPr>
          </w:p>
          <w:p w:rsidR="00B72C4C" w:rsidRDefault="005B67F5" w:rsidP="00B60954">
            <w:pPr>
              <w:snapToGrid w:val="0"/>
            </w:pPr>
            <w:proofErr w:type="spellStart"/>
            <w:r>
              <w:t>Бунькин</w:t>
            </w:r>
            <w:proofErr w:type="spellEnd"/>
            <w:r>
              <w:t xml:space="preserve"> С.П.</w:t>
            </w:r>
          </w:p>
          <w:p w:rsidR="00B72C4C" w:rsidRDefault="00B72C4C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042BDF" w:rsidP="00B60954">
            <w:pPr>
              <w:snapToGrid w:val="0"/>
            </w:pPr>
          </w:p>
          <w:p w:rsidR="00042BDF" w:rsidRDefault="00363A1D" w:rsidP="00B60954">
            <w:pPr>
              <w:snapToGrid w:val="0"/>
            </w:pPr>
            <w:proofErr w:type="spellStart"/>
            <w:r>
              <w:t>Чикина</w:t>
            </w:r>
            <w:proofErr w:type="spellEnd"/>
            <w:r>
              <w:t xml:space="preserve"> Н.М.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Default="000103E9" w:rsidP="007955F4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2070D7" w:rsidP="007955F4">
            <w:pPr>
              <w:snapToGrid w:val="0"/>
              <w:rPr>
                <w:b/>
              </w:rPr>
            </w:pPr>
          </w:p>
          <w:p w:rsidR="002070D7" w:rsidRDefault="003E09E0" w:rsidP="007955F4">
            <w:pPr>
              <w:snapToGrid w:val="0"/>
            </w:pPr>
            <w:r w:rsidRPr="00172FE2">
              <w:t xml:space="preserve">Предложение отклонить, т.к. будут нарушены права правообладателей </w:t>
            </w:r>
            <w:r w:rsidR="00172FE2" w:rsidRPr="00172FE2">
              <w:t>индивидуальных  жилых домов, расположенных на данных участках.</w:t>
            </w:r>
          </w:p>
          <w:p w:rsidR="00172FE2" w:rsidRDefault="00172FE2" w:rsidP="007955F4">
            <w:pPr>
              <w:snapToGrid w:val="0"/>
            </w:pPr>
          </w:p>
          <w:p w:rsidR="00172FE2" w:rsidRDefault="00172FE2" w:rsidP="007955F4">
            <w:pPr>
              <w:snapToGrid w:val="0"/>
            </w:pPr>
          </w:p>
          <w:p w:rsidR="00172FE2" w:rsidRDefault="00172FE2" w:rsidP="007955F4">
            <w:pPr>
              <w:snapToGrid w:val="0"/>
            </w:pPr>
          </w:p>
          <w:p w:rsidR="00172FE2" w:rsidRDefault="00172FE2" w:rsidP="007955F4">
            <w:pPr>
              <w:snapToGrid w:val="0"/>
            </w:pPr>
          </w:p>
          <w:p w:rsidR="00172FE2" w:rsidRDefault="00172FE2" w:rsidP="0081209D">
            <w:pPr>
              <w:snapToGrid w:val="0"/>
            </w:pPr>
            <w:r>
              <w:t>Отклонить предложение (см. пояснение</w:t>
            </w:r>
            <w:r w:rsidR="00967CC1">
              <w:t xml:space="preserve"> к</w:t>
            </w:r>
            <w:r>
              <w:t xml:space="preserve"> п. 5</w:t>
            </w:r>
            <w:r w:rsidR="0081209D">
              <w:t xml:space="preserve"> настоящего заключения).</w:t>
            </w: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81209D" w:rsidP="0081209D">
            <w:pPr>
              <w:snapToGrid w:val="0"/>
            </w:pPr>
          </w:p>
          <w:p w:rsidR="0081209D" w:rsidRDefault="007F03FD" w:rsidP="0081209D">
            <w:pPr>
              <w:snapToGrid w:val="0"/>
            </w:pPr>
            <w:r>
              <w:t>Отклонить предложение.</w:t>
            </w:r>
          </w:p>
          <w:p w:rsidR="007F03FD" w:rsidRDefault="007F03FD" w:rsidP="003D50DE">
            <w:pPr>
              <w:snapToGrid w:val="0"/>
            </w:pPr>
          </w:p>
          <w:p w:rsidR="007F03FD" w:rsidRDefault="007F03FD" w:rsidP="003D50DE">
            <w:pPr>
              <w:snapToGrid w:val="0"/>
            </w:pPr>
          </w:p>
          <w:p w:rsidR="007F03FD" w:rsidRDefault="007F03FD" w:rsidP="003D50DE">
            <w:pPr>
              <w:snapToGrid w:val="0"/>
            </w:pPr>
          </w:p>
          <w:p w:rsidR="007F03FD" w:rsidRDefault="007F03FD" w:rsidP="003D50DE">
            <w:pPr>
              <w:snapToGrid w:val="0"/>
            </w:pPr>
          </w:p>
          <w:p w:rsidR="007F03FD" w:rsidRDefault="007F03FD" w:rsidP="003D50DE">
            <w:pPr>
              <w:snapToGrid w:val="0"/>
            </w:pPr>
          </w:p>
          <w:p w:rsidR="007F03FD" w:rsidRDefault="007F03FD" w:rsidP="003D50DE">
            <w:pPr>
              <w:snapToGrid w:val="0"/>
            </w:pPr>
          </w:p>
          <w:p w:rsidR="0081209D" w:rsidRDefault="00E956FF" w:rsidP="003D50DE">
            <w:pPr>
              <w:snapToGrid w:val="0"/>
            </w:pPr>
            <w:proofErr w:type="gramStart"/>
            <w:r>
              <w:t>Согласно ст. 46 Градостроительного кодекса Российской Федерации</w:t>
            </w:r>
            <w:r w:rsidR="004A6E5C">
              <w:t>, пунктам</w:t>
            </w:r>
            <w:bookmarkStart w:id="0" w:name="_GoBack"/>
            <w:bookmarkEnd w:id="0"/>
            <w:r w:rsidR="004A6E5C">
              <w:t xml:space="preserve"> 4.5, 6.1.3.4 Положения о публичных слушаниях в муниципальном образовании «Город Саратов», принятого решением Саратовской  городской Думы от 16.11.2005 № 65-633, объявление о проведении публичных слушани</w:t>
            </w:r>
            <w:r w:rsidR="00967CC1">
              <w:t>й</w:t>
            </w:r>
            <w:r w:rsidR="004A6E5C">
              <w:t xml:space="preserve">, проект межевания </w:t>
            </w:r>
            <w:r w:rsidR="004A6E5C">
              <w:lastRenderedPageBreak/>
              <w:t>территории были опубликованы</w:t>
            </w:r>
            <w:r w:rsidR="003D50DE">
              <w:t xml:space="preserve"> (размещены) на официальном сайте администрации муниципального образования «Город Саратов» в разделе «</w:t>
            </w:r>
            <w:r w:rsidR="007F03FD">
              <w:t>к</w:t>
            </w:r>
            <w:r w:rsidR="003D50DE">
              <w:t>омитет по градостроительной политике, архитектуре и капитальному строительству» 12 сентября 2017 года</w:t>
            </w:r>
            <w:proofErr w:type="gramEnd"/>
            <w:r w:rsidR="003D50DE">
              <w:t xml:space="preserve">. Указанные нормативные правовые акты </w:t>
            </w:r>
            <w:r w:rsidR="007F03FD">
              <w:t>не  предусматривают  публикации сведений, указанных в возражениях по форме.</w:t>
            </w:r>
          </w:p>
          <w:p w:rsidR="007F03FD" w:rsidRDefault="007F03FD" w:rsidP="003D50DE">
            <w:pPr>
              <w:snapToGrid w:val="0"/>
            </w:pPr>
          </w:p>
          <w:p w:rsidR="007F03FD" w:rsidRPr="000A673B" w:rsidRDefault="006B7BAA" w:rsidP="006B7BAA">
            <w:pPr>
              <w:snapToGrid w:val="0"/>
            </w:pPr>
            <w:r>
              <w:t>Проект межевания территории разработан в соответствии со ст. 11.3 Земельного кодекса РФ, статьей 43 Градостроительного кодекса РФ</w:t>
            </w:r>
            <w:r w:rsidR="0039097B">
              <w:t xml:space="preserve">. При его подготовке учитывались права и законные интересы всех правообладателей объектов недвижимости на земельном участке </w:t>
            </w:r>
            <w:r w:rsidR="0039097B" w:rsidRPr="000A673B">
              <w:t xml:space="preserve">площадью </w:t>
            </w:r>
            <w:r w:rsidR="00F50E48" w:rsidRPr="000A673B">
              <w:t>17</w:t>
            </w:r>
            <w:r w:rsidR="000A673B" w:rsidRPr="000A673B">
              <w:t>306</w:t>
            </w:r>
            <w:r w:rsidR="00F50E48" w:rsidRPr="000A673B">
              <w:t xml:space="preserve"> кв. м.: введенных в эксплуатацию многоквартирных домов, недостроенных многоквартирных домов</w:t>
            </w:r>
            <w:r w:rsidR="00582D1C" w:rsidRPr="000A673B">
              <w:t>, существующих индивидуальных жилых домов, индивидуальных гаражей и др.</w:t>
            </w:r>
          </w:p>
          <w:p w:rsidR="00582D1C" w:rsidRPr="000A673B" w:rsidRDefault="00582D1C" w:rsidP="006B7BAA">
            <w:pPr>
              <w:snapToGrid w:val="0"/>
            </w:pPr>
            <w:r w:rsidRPr="000A673B">
              <w:t>Сведения о правообладателях объектов недвижимости на земельном участке площадью 17</w:t>
            </w:r>
            <w:r w:rsidR="000A673B" w:rsidRPr="000A673B">
              <w:t>306</w:t>
            </w:r>
            <w:r w:rsidRPr="000A673B">
              <w:t xml:space="preserve"> кв. м. были получены как по данным ЕГРН, так и по данным МУП «Городское </w:t>
            </w:r>
            <w:r w:rsidRPr="000A673B">
              <w:lastRenderedPageBreak/>
              <w:t>бюро технической инвентаризации»</w:t>
            </w:r>
            <w:r w:rsidR="0007525C" w:rsidRPr="000A673B">
              <w:t>.</w:t>
            </w:r>
          </w:p>
          <w:p w:rsidR="00801F1E" w:rsidRPr="000A673B" w:rsidRDefault="0007525C" w:rsidP="00801F1E">
            <w:pPr>
              <w:snapToGrid w:val="0"/>
            </w:pPr>
            <w:r w:rsidRPr="000A673B">
              <w:t>В проекте межевания территории указаны проезды, обеспечивающие прое</w:t>
            </w:r>
            <w:proofErr w:type="gramStart"/>
            <w:r w:rsidRPr="000A673B">
              <w:t>зд вгл</w:t>
            </w:r>
            <w:proofErr w:type="gramEnd"/>
            <w:r w:rsidRPr="000A673B">
              <w:t>убь квартала  и выезда из него.</w:t>
            </w:r>
            <w:r w:rsidR="000A673B" w:rsidRPr="000A673B">
              <w:t xml:space="preserve"> </w:t>
            </w:r>
            <w:r w:rsidRPr="000A673B">
              <w:t>Частично возможно согласиться с замечаниями и продлить проезд со стороны ул.</w:t>
            </w:r>
            <w:r w:rsidR="000A673B" w:rsidRPr="000A673B">
              <w:t xml:space="preserve"> </w:t>
            </w:r>
            <w:proofErr w:type="spellStart"/>
            <w:r w:rsidR="000A673B" w:rsidRPr="000A673B">
              <w:t>Наумовской</w:t>
            </w:r>
            <w:proofErr w:type="spellEnd"/>
            <w:r w:rsidRPr="000A673B">
              <w:t xml:space="preserve">  до индивидуальных жилых домов</w:t>
            </w:r>
            <w:r w:rsidR="007B4A98" w:rsidRPr="000A673B">
              <w:t>. В случае утверждения данного проекта межевания территории и раздела земельного участка для завершения строительства многоквартирных домов потребуется подготовка градостроительных планов каждого земельного участка</w:t>
            </w:r>
            <w:r w:rsidR="00E50863" w:rsidRPr="000A673B">
              <w:t>, подготовка (либо внесение изменений) проектной документации. Согласно ст. 49 Градостроительного кодекса РФ указанная доку</w:t>
            </w:r>
            <w:r w:rsidR="00273472" w:rsidRPr="000A673B">
              <w:t xml:space="preserve">ментация подлежит экспертизе, которая </w:t>
            </w:r>
            <w:r w:rsidR="00BE0EC3" w:rsidRPr="000A673B">
              <w:t>оценивает проектную документацию на соответствие  требованиям технических регламентов</w:t>
            </w:r>
            <w:r w:rsidR="003E58E1" w:rsidRPr="000A673B">
              <w:t>, в том числе санитарно-эпидемиологическим, экологическим требованиям, требо</w:t>
            </w:r>
            <w:r w:rsidR="007268D5" w:rsidRPr="000A673B">
              <w:t>ваниям охраны объектов культурного наследия, требованиям пожарной и иной безопасности</w:t>
            </w:r>
            <w:r w:rsidR="009C099C" w:rsidRPr="000A673B">
              <w:t xml:space="preserve">. Соответственно,  оценка подготовленной (измененной) проектной документации будет дана при проведении экспертизы. Кроме того, ГУПП </w:t>
            </w:r>
            <w:r w:rsidR="009C099C" w:rsidRPr="000A673B">
              <w:lastRenderedPageBreak/>
              <w:t>«</w:t>
            </w:r>
            <w:proofErr w:type="spellStart"/>
            <w:r w:rsidR="009C099C" w:rsidRPr="000A673B">
              <w:t>Саратовгражданпроект</w:t>
            </w:r>
            <w:proofErr w:type="spellEnd"/>
            <w:r w:rsidR="009C099C" w:rsidRPr="000A673B">
              <w:t xml:space="preserve">» Саратовской области данный проект межевания подготовлен с учетом </w:t>
            </w:r>
            <w:r w:rsidR="00801F1E" w:rsidRPr="000A673B">
              <w:t xml:space="preserve">требований </w:t>
            </w:r>
            <w:r w:rsidR="00801F1E" w:rsidRPr="000A673B">
              <w:t>СП 4.13130</w:t>
            </w:r>
          </w:p>
          <w:p w:rsidR="00801F1E" w:rsidRPr="000A673B" w:rsidRDefault="00801F1E" w:rsidP="00801F1E">
            <w:pPr>
              <w:snapToGrid w:val="0"/>
            </w:pPr>
            <w:r w:rsidRPr="000A673B">
              <w:t>"Системы противопожарной защиты</w:t>
            </w:r>
            <w:proofErr w:type="gramStart"/>
            <w:r w:rsidRPr="000A673B">
              <w:t>.</w:t>
            </w:r>
            <w:proofErr w:type="gramEnd"/>
            <w:r w:rsidRPr="000A673B">
              <w:t xml:space="preserve"> Ограничение</w:t>
            </w:r>
          </w:p>
          <w:p w:rsidR="00801F1E" w:rsidRPr="000A673B" w:rsidRDefault="00801F1E" w:rsidP="00801F1E">
            <w:pPr>
              <w:snapToGrid w:val="0"/>
            </w:pPr>
            <w:r w:rsidRPr="000A673B">
              <w:t>распространения пожара на объектах защиты</w:t>
            </w:r>
            <w:proofErr w:type="gramStart"/>
            <w:r w:rsidRPr="000A673B">
              <w:t>.</w:t>
            </w:r>
            <w:proofErr w:type="gramEnd"/>
            <w:r w:rsidRPr="000A673B">
              <w:t xml:space="preserve"> Требования</w:t>
            </w:r>
          </w:p>
          <w:p w:rsidR="0007525C" w:rsidRPr="007B4A98" w:rsidRDefault="00801F1E" w:rsidP="00801F1E">
            <w:pPr>
              <w:snapToGrid w:val="0"/>
              <w:rPr>
                <w:color w:val="FF0000"/>
              </w:rPr>
            </w:pPr>
            <w:r w:rsidRPr="000A673B">
              <w:t>к объемно-планировочным и конструктивным решениям"</w:t>
            </w:r>
            <w:r w:rsidR="000A673B"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</w:tbl>
    <w:p w:rsidR="008D489E" w:rsidRDefault="008D489E">
      <w:pPr>
        <w:rPr>
          <w:b/>
        </w:rPr>
      </w:pPr>
    </w:p>
    <w:p w:rsidR="00A865A6" w:rsidRDefault="00A865A6">
      <w:pPr>
        <w:rPr>
          <w:b/>
        </w:rPr>
      </w:pPr>
    </w:p>
    <w:p w:rsidR="008D489E" w:rsidRDefault="008D489E" w:rsidP="008D489E">
      <w:pPr>
        <w:rPr>
          <w:b/>
          <w:sz w:val="21"/>
          <w:szCs w:val="21"/>
        </w:rPr>
      </w:pPr>
      <w:r w:rsidRPr="00953220">
        <w:rPr>
          <w:b/>
          <w:sz w:val="21"/>
          <w:szCs w:val="21"/>
        </w:rPr>
        <w:t xml:space="preserve">Председатель публичных слушаний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953220">
        <w:rPr>
          <w:b/>
          <w:sz w:val="21"/>
          <w:szCs w:val="21"/>
        </w:rPr>
        <w:t xml:space="preserve">                                                                     </w:t>
      </w:r>
      <w:r>
        <w:rPr>
          <w:b/>
          <w:sz w:val="21"/>
          <w:szCs w:val="21"/>
        </w:rPr>
        <w:t xml:space="preserve">             </w:t>
      </w:r>
      <w:r w:rsidR="00F7118C">
        <w:rPr>
          <w:b/>
          <w:sz w:val="21"/>
          <w:szCs w:val="21"/>
        </w:rPr>
        <w:t xml:space="preserve">            </w:t>
      </w:r>
      <w:r w:rsidRPr="00953220">
        <w:rPr>
          <w:b/>
          <w:sz w:val="21"/>
          <w:szCs w:val="21"/>
        </w:rPr>
        <w:t xml:space="preserve">  </w:t>
      </w:r>
      <w:r w:rsidR="0046716D">
        <w:rPr>
          <w:b/>
          <w:sz w:val="21"/>
          <w:szCs w:val="21"/>
        </w:rPr>
        <w:t>Т</w:t>
      </w:r>
      <w:r w:rsidRPr="00953220">
        <w:rPr>
          <w:b/>
          <w:sz w:val="21"/>
          <w:szCs w:val="21"/>
        </w:rPr>
        <w:t>.</w:t>
      </w:r>
      <w:r w:rsidR="0046716D">
        <w:rPr>
          <w:b/>
          <w:sz w:val="21"/>
          <w:szCs w:val="21"/>
        </w:rPr>
        <w:t>А</w:t>
      </w:r>
      <w:r w:rsidRPr="00953220">
        <w:rPr>
          <w:b/>
          <w:sz w:val="21"/>
          <w:szCs w:val="21"/>
        </w:rPr>
        <w:t xml:space="preserve">. </w:t>
      </w:r>
      <w:r w:rsidR="0046716D">
        <w:rPr>
          <w:b/>
          <w:sz w:val="21"/>
          <w:szCs w:val="21"/>
        </w:rPr>
        <w:t>Карпеева</w:t>
      </w:r>
    </w:p>
    <w:p w:rsidR="00E41137" w:rsidRDefault="00E41137" w:rsidP="008D489E">
      <w:pPr>
        <w:rPr>
          <w:b/>
          <w:sz w:val="21"/>
          <w:szCs w:val="21"/>
        </w:rPr>
      </w:pPr>
    </w:p>
    <w:p w:rsidR="008D489E" w:rsidRPr="00953220" w:rsidRDefault="008D489E" w:rsidP="008D489E">
      <w:pPr>
        <w:ind w:hanging="993"/>
        <w:rPr>
          <w:b/>
          <w:sz w:val="21"/>
          <w:szCs w:val="21"/>
        </w:rPr>
      </w:pPr>
    </w:p>
    <w:p w:rsidR="008D489E" w:rsidRDefault="008D489E" w:rsidP="003C090C">
      <w:pPr>
        <w:ind w:left="-992" w:firstLine="992"/>
      </w:pPr>
      <w:r w:rsidRPr="00953220">
        <w:rPr>
          <w:b/>
          <w:sz w:val="21"/>
          <w:szCs w:val="21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>
        <w:rPr>
          <w:b/>
          <w:sz w:val="21"/>
          <w:szCs w:val="21"/>
        </w:rPr>
        <w:t xml:space="preserve">                 </w:t>
      </w:r>
      <w:r w:rsidRPr="0095322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         </w:t>
      </w:r>
      <w:r w:rsidRPr="00953220">
        <w:rPr>
          <w:b/>
          <w:sz w:val="21"/>
          <w:szCs w:val="21"/>
        </w:rPr>
        <w:t xml:space="preserve">  </w:t>
      </w:r>
      <w:r w:rsidR="00E1585F">
        <w:rPr>
          <w:b/>
          <w:sz w:val="21"/>
          <w:szCs w:val="21"/>
        </w:rPr>
        <w:t xml:space="preserve">   </w:t>
      </w:r>
      <w:r w:rsidRPr="00953220">
        <w:rPr>
          <w:b/>
          <w:sz w:val="21"/>
          <w:szCs w:val="21"/>
        </w:rPr>
        <w:t xml:space="preserve"> 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 xml:space="preserve"> Михайлова</w:t>
      </w:r>
    </w:p>
    <w:sectPr w:rsidR="008D48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F2" w:rsidRDefault="00DD79F2">
      <w:r>
        <w:separator/>
      </w:r>
    </w:p>
  </w:endnote>
  <w:endnote w:type="continuationSeparator" w:id="0">
    <w:p w:rsidR="00DD79F2" w:rsidRDefault="00DD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B50A69">
      <w:rPr>
        <w:noProof/>
      </w:rPr>
      <w:t>5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F2" w:rsidRDefault="00DD79F2">
      <w:r>
        <w:separator/>
      </w:r>
    </w:p>
  </w:footnote>
  <w:footnote w:type="continuationSeparator" w:id="0">
    <w:p w:rsidR="00DD79F2" w:rsidRDefault="00DD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40A8"/>
    <w:multiLevelType w:val="hybridMultilevel"/>
    <w:tmpl w:val="69FA2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103E9"/>
    <w:rsid w:val="00013102"/>
    <w:rsid w:val="00042BDF"/>
    <w:rsid w:val="00045180"/>
    <w:rsid w:val="0004573A"/>
    <w:rsid w:val="00065808"/>
    <w:rsid w:val="00074DA0"/>
    <w:rsid w:val="0007525C"/>
    <w:rsid w:val="00075A28"/>
    <w:rsid w:val="00081455"/>
    <w:rsid w:val="000932E2"/>
    <w:rsid w:val="000A5A92"/>
    <w:rsid w:val="000A673B"/>
    <w:rsid w:val="000B05CC"/>
    <w:rsid w:val="000C53AC"/>
    <w:rsid w:val="000D21F3"/>
    <w:rsid w:val="000D2359"/>
    <w:rsid w:val="000E2BAF"/>
    <w:rsid w:val="000E75A5"/>
    <w:rsid w:val="000F3270"/>
    <w:rsid w:val="000F3BD8"/>
    <w:rsid w:val="000F3DAA"/>
    <w:rsid w:val="00105AEC"/>
    <w:rsid w:val="00107FCD"/>
    <w:rsid w:val="00112B44"/>
    <w:rsid w:val="00124239"/>
    <w:rsid w:val="0013635B"/>
    <w:rsid w:val="00136A19"/>
    <w:rsid w:val="001655B9"/>
    <w:rsid w:val="00172977"/>
    <w:rsid w:val="00172FE2"/>
    <w:rsid w:val="00176495"/>
    <w:rsid w:val="00187318"/>
    <w:rsid w:val="00190DF8"/>
    <w:rsid w:val="001965EE"/>
    <w:rsid w:val="001A4D77"/>
    <w:rsid w:val="001A7AB1"/>
    <w:rsid w:val="001B686C"/>
    <w:rsid w:val="001C2A4A"/>
    <w:rsid w:val="001C75B2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070D7"/>
    <w:rsid w:val="002338B1"/>
    <w:rsid w:val="00237ADE"/>
    <w:rsid w:val="00246C4D"/>
    <w:rsid w:val="002522A1"/>
    <w:rsid w:val="00261DD1"/>
    <w:rsid w:val="00273472"/>
    <w:rsid w:val="00274B5A"/>
    <w:rsid w:val="00282F86"/>
    <w:rsid w:val="00286F33"/>
    <w:rsid w:val="002A1590"/>
    <w:rsid w:val="002A2532"/>
    <w:rsid w:val="002B3C66"/>
    <w:rsid w:val="002B5CF9"/>
    <w:rsid w:val="002C263E"/>
    <w:rsid w:val="002C2E9F"/>
    <w:rsid w:val="002D236D"/>
    <w:rsid w:val="002E3258"/>
    <w:rsid w:val="002E5132"/>
    <w:rsid w:val="002F0F22"/>
    <w:rsid w:val="00303C1F"/>
    <w:rsid w:val="003159A0"/>
    <w:rsid w:val="00331B99"/>
    <w:rsid w:val="00334A85"/>
    <w:rsid w:val="003419C2"/>
    <w:rsid w:val="00363A1D"/>
    <w:rsid w:val="00363CD1"/>
    <w:rsid w:val="00364835"/>
    <w:rsid w:val="00390695"/>
    <w:rsid w:val="0039097B"/>
    <w:rsid w:val="003931DE"/>
    <w:rsid w:val="003A1779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50DE"/>
    <w:rsid w:val="003D7F43"/>
    <w:rsid w:val="003E09E0"/>
    <w:rsid w:val="003E58E1"/>
    <w:rsid w:val="003E5C16"/>
    <w:rsid w:val="00405C6E"/>
    <w:rsid w:val="004105C7"/>
    <w:rsid w:val="00413FC5"/>
    <w:rsid w:val="0042173F"/>
    <w:rsid w:val="00426D41"/>
    <w:rsid w:val="00434740"/>
    <w:rsid w:val="00440843"/>
    <w:rsid w:val="00447A43"/>
    <w:rsid w:val="00450F7E"/>
    <w:rsid w:val="00452365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A4B54"/>
    <w:rsid w:val="004A6E5C"/>
    <w:rsid w:val="004C4D01"/>
    <w:rsid w:val="004D050B"/>
    <w:rsid w:val="004F1735"/>
    <w:rsid w:val="004F42F8"/>
    <w:rsid w:val="004F4C45"/>
    <w:rsid w:val="00500088"/>
    <w:rsid w:val="00502F28"/>
    <w:rsid w:val="0050685C"/>
    <w:rsid w:val="00516EF1"/>
    <w:rsid w:val="00523727"/>
    <w:rsid w:val="00526490"/>
    <w:rsid w:val="00543951"/>
    <w:rsid w:val="00557C87"/>
    <w:rsid w:val="005646DA"/>
    <w:rsid w:val="00564764"/>
    <w:rsid w:val="005723A8"/>
    <w:rsid w:val="00573255"/>
    <w:rsid w:val="00581B69"/>
    <w:rsid w:val="00582D1C"/>
    <w:rsid w:val="005868F3"/>
    <w:rsid w:val="005A39B8"/>
    <w:rsid w:val="005B01F9"/>
    <w:rsid w:val="005B4252"/>
    <w:rsid w:val="005B67F5"/>
    <w:rsid w:val="005B78DD"/>
    <w:rsid w:val="005D57F1"/>
    <w:rsid w:val="005E3C7F"/>
    <w:rsid w:val="006423A8"/>
    <w:rsid w:val="0065323F"/>
    <w:rsid w:val="0066415A"/>
    <w:rsid w:val="00670B56"/>
    <w:rsid w:val="00672D7B"/>
    <w:rsid w:val="006775BF"/>
    <w:rsid w:val="00685C79"/>
    <w:rsid w:val="006951B0"/>
    <w:rsid w:val="00697D24"/>
    <w:rsid w:val="006B3D37"/>
    <w:rsid w:val="006B7BAA"/>
    <w:rsid w:val="006C7C82"/>
    <w:rsid w:val="006E53FE"/>
    <w:rsid w:val="006E5ED6"/>
    <w:rsid w:val="006F1977"/>
    <w:rsid w:val="006F2F79"/>
    <w:rsid w:val="006F78C7"/>
    <w:rsid w:val="007268D5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4A98"/>
    <w:rsid w:val="007B6E3F"/>
    <w:rsid w:val="007B7149"/>
    <w:rsid w:val="007C7049"/>
    <w:rsid w:val="007D321B"/>
    <w:rsid w:val="007D4D8B"/>
    <w:rsid w:val="007E252B"/>
    <w:rsid w:val="007E4E53"/>
    <w:rsid w:val="007F03FD"/>
    <w:rsid w:val="007F3476"/>
    <w:rsid w:val="007F6865"/>
    <w:rsid w:val="00801F1E"/>
    <w:rsid w:val="00805ABA"/>
    <w:rsid w:val="0081209D"/>
    <w:rsid w:val="008123B3"/>
    <w:rsid w:val="008136DF"/>
    <w:rsid w:val="00826832"/>
    <w:rsid w:val="00832EF1"/>
    <w:rsid w:val="008348C0"/>
    <w:rsid w:val="00847FED"/>
    <w:rsid w:val="00862703"/>
    <w:rsid w:val="00866ECE"/>
    <w:rsid w:val="00872F94"/>
    <w:rsid w:val="008941A7"/>
    <w:rsid w:val="008B330E"/>
    <w:rsid w:val="008B55E5"/>
    <w:rsid w:val="008D489E"/>
    <w:rsid w:val="008D716D"/>
    <w:rsid w:val="008F10CF"/>
    <w:rsid w:val="009022D2"/>
    <w:rsid w:val="00913ABE"/>
    <w:rsid w:val="0092135D"/>
    <w:rsid w:val="00927745"/>
    <w:rsid w:val="009466AE"/>
    <w:rsid w:val="00967AFD"/>
    <w:rsid w:val="00967CC1"/>
    <w:rsid w:val="00973E56"/>
    <w:rsid w:val="00983379"/>
    <w:rsid w:val="00983434"/>
    <w:rsid w:val="00986A95"/>
    <w:rsid w:val="009A0905"/>
    <w:rsid w:val="009B2CD8"/>
    <w:rsid w:val="009B53DE"/>
    <w:rsid w:val="009C0672"/>
    <w:rsid w:val="009C099C"/>
    <w:rsid w:val="00A0108F"/>
    <w:rsid w:val="00A02141"/>
    <w:rsid w:val="00A3656D"/>
    <w:rsid w:val="00A46E5D"/>
    <w:rsid w:val="00A51029"/>
    <w:rsid w:val="00A61368"/>
    <w:rsid w:val="00A83E81"/>
    <w:rsid w:val="00A85819"/>
    <w:rsid w:val="00A865A6"/>
    <w:rsid w:val="00A86DC6"/>
    <w:rsid w:val="00A97803"/>
    <w:rsid w:val="00AB2BD2"/>
    <w:rsid w:val="00AB6656"/>
    <w:rsid w:val="00AB6AEA"/>
    <w:rsid w:val="00AD3478"/>
    <w:rsid w:val="00AE1529"/>
    <w:rsid w:val="00AE4709"/>
    <w:rsid w:val="00B04809"/>
    <w:rsid w:val="00B24386"/>
    <w:rsid w:val="00B24558"/>
    <w:rsid w:val="00B30532"/>
    <w:rsid w:val="00B44B81"/>
    <w:rsid w:val="00B47B98"/>
    <w:rsid w:val="00B50A69"/>
    <w:rsid w:val="00B60954"/>
    <w:rsid w:val="00B61921"/>
    <w:rsid w:val="00B619B5"/>
    <w:rsid w:val="00B71A75"/>
    <w:rsid w:val="00B72C4C"/>
    <w:rsid w:val="00B81D57"/>
    <w:rsid w:val="00B878E1"/>
    <w:rsid w:val="00BB0741"/>
    <w:rsid w:val="00BB4B5C"/>
    <w:rsid w:val="00BB5402"/>
    <w:rsid w:val="00BB728D"/>
    <w:rsid w:val="00BD589A"/>
    <w:rsid w:val="00BD6BD4"/>
    <w:rsid w:val="00BE0EC3"/>
    <w:rsid w:val="00BE239F"/>
    <w:rsid w:val="00C0222E"/>
    <w:rsid w:val="00C2131B"/>
    <w:rsid w:val="00C233A1"/>
    <w:rsid w:val="00C242CB"/>
    <w:rsid w:val="00C24E18"/>
    <w:rsid w:val="00C3445D"/>
    <w:rsid w:val="00C511B9"/>
    <w:rsid w:val="00C54726"/>
    <w:rsid w:val="00C61157"/>
    <w:rsid w:val="00C76917"/>
    <w:rsid w:val="00C85876"/>
    <w:rsid w:val="00CA7F56"/>
    <w:rsid w:val="00CB0EE6"/>
    <w:rsid w:val="00CB11DA"/>
    <w:rsid w:val="00CB2D5A"/>
    <w:rsid w:val="00CC14FA"/>
    <w:rsid w:val="00CC7992"/>
    <w:rsid w:val="00CD41B4"/>
    <w:rsid w:val="00CE70E4"/>
    <w:rsid w:val="00CF119A"/>
    <w:rsid w:val="00D00FB4"/>
    <w:rsid w:val="00D41B67"/>
    <w:rsid w:val="00D44AAE"/>
    <w:rsid w:val="00D66AA1"/>
    <w:rsid w:val="00D72D6C"/>
    <w:rsid w:val="00D86C9E"/>
    <w:rsid w:val="00D90445"/>
    <w:rsid w:val="00D94624"/>
    <w:rsid w:val="00DA0A17"/>
    <w:rsid w:val="00DA0D4C"/>
    <w:rsid w:val="00DA681A"/>
    <w:rsid w:val="00DA7D06"/>
    <w:rsid w:val="00DC21E5"/>
    <w:rsid w:val="00DD79F2"/>
    <w:rsid w:val="00DF0A97"/>
    <w:rsid w:val="00DF10CB"/>
    <w:rsid w:val="00DF3156"/>
    <w:rsid w:val="00E015BC"/>
    <w:rsid w:val="00E1585F"/>
    <w:rsid w:val="00E41137"/>
    <w:rsid w:val="00E466A8"/>
    <w:rsid w:val="00E50863"/>
    <w:rsid w:val="00E60560"/>
    <w:rsid w:val="00E60895"/>
    <w:rsid w:val="00E62403"/>
    <w:rsid w:val="00E7765A"/>
    <w:rsid w:val="00E954B1"/>
    <w:rsid w:val="00E956FF"/>
    <w:rsid w:val="00EC5CB7"/>
    <w:rsid w:val="00ED2DDA"/>
    <w:rsid w:val="00EE70A0"/>
    <w:rsid w:val="00F010BE"/>
    <w:rsid w:val="00F02963"/>
    <w:rsid w:val="00F15215"/>
    <w:rsid w:val="00F26620"/>
    <w:rsid w:val="00F30AAF"/>
    <w:rsid w:val="00F41409"/>
    <w:rsid w:val="00F4195C"/>
    <w:rsid w:val="00F41DFD"/>
    <w:rsid w:val="00F42804"/>
    <w:rsid w:val="00F4491C"/>
    <w:rsid w:val="00F50E48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D4CD1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  <w:style w:type="paragraph" w:styleId="af1">
    <w:name w:val="List Paragraph"/>
    <w:basedOn w:val="a"/>
    <w:uiPriority w:val="34"/>
    <w:qFormat/>
    <w:rsid w:val="006B7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  <w:style w:type="paragraph" w:styleId="af1">
    <w:name w:val="List Paragraph"/>
    <w:basedOn w:val="a"/>
    <w:uiPriority w:val="34"/>
    <w:qFormat/>
    <w:rsid w:val="006B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6923-D91F-40DD-AF23-BA76C9EC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46</cp:revision>
  <cp:lastPrinted>2017-10-12T13:35:00Z</cp:lastPrinted>
  <dcterms:created xsi:type="dcterms:W3CDTF">2017-07-31T05:29:00Z</dcterms:created>
  <dcterms:modified xsi:type="dcterms:W3CDTF">2017-10-12T13:36:00Z</dcterms:modified>
</cp:coreProperties>
</file>