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8511664"/>
    <w:bookmarkStart w:id="1" w:name="_MON_1245170281"/>
    <w:bookmarkStart w:id="2" w:name="_MON_1245170719"/>
    <w:bookmarkStart w:id="3" w:name="_MON_1246205849"/>
    <w:bookmarkEnd w:id="0"/>
    <w:bookmarkEnd w:id="1"/>
    <w:bookmarkEnd w:id="2"/>
    <w:bookmarkEnd w:id="3"/>
    <w:bookmarkStart w:id="4" w:name="_MON_1247301078"/>
    <w:bookmarkEnd w:id="4"/>
    <w:p w:rsidR="004764F7" w:rsidRDefault="004764F7" w:rsidP="004764F7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42784136" r:id="rId5"/>
        </w:object>
      </w:r>
    </w:p>
    <w:p w:rsidR="004764F7" w:rsidRDefault="004764F7" w:rsidP="004764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4764F7" w:rsidRPr="00547218" w:rsidRDefault="004764F7" w:rsidP="004764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4764F7" w:rsidRDefault="0031196C" w:rsidP="004764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4764F7" w:rsidRDefault="004764F7" w:rsidP="004764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4764F7" w:rsidRDefault="004764F7" w:rsidP="004764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4764F7" w:rsidRDefault="004764F7" w:rsidP="004764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764F7" w:rsidRDefault="004764F7" w:rsidP="004764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4764F7" w:rsidRDefault="004764F7" w:rsidP="004764F7">
                    <w:pPr>
                      <w:widowControl/>
                      <w:jc w:val="right"/>
                    </w:pPr>
                  </w:p>
                  <w:p w:rsidR="004764F7" w:rsidRDefault="004764F7" w:rsidP="004764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4764F7" w:rsidRPr="00CF58ED" w:rsidRDefault="004764F7" w:rsidP="004764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4764F7" w:rsidRDefault="004764F7" w:rsidP="004764F7">
      <w:pPr>
        <w:widowControl/>
      </w:pPr>
    </w:p>
    <w:p w:rsidR="004764F7" w:rsidRDefault="004764F7" w:rsidP="004764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4764F7" w:rsidRDefault="004764F7" w:rsidP="004764F7">
      <w:pPr>
        <w:rPr>
          <w:b/>
          <w:sz w:val="28"/>
        </w:rPr>
      </w:pPr>
    </w:p>
    <w:p w:rsidR="004764F7" w:rsidRPr="00562A43" w:rsidRDefault="004764F7" w:rsidP="004764F7">
      <w:pPr>
        <w:rPr>
          <w:b/>
          <w:sz w:val="28"/>
        </w:rPr>
      </w:pPr>
    </w:p>
    <w:p w:rsidR="004764F7" w:rsidRPr="00562A43" w:rsidRDefault="004764F7" w:rsidP="004764F7"/>
    <w:p w:rsidR="004764F7" w:rsidRPr="00562A43" w:rsidRDefault="004764F7" w:rsidP="004764F7"/>
    <w:p w:rsidR="004764F7" w:rsidRDefault="004764F7" w:rsidP="004764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764F7" w:rsidRDefault="004764F7" w:rsidP="00476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экспертизе постановления администрации муниципального образования «Город Саратов» от 13 января 2016 года № 3 </w:t>
      </w:r>
    </w:p>
    <w:p w:rsidR="004764F7" w:rsidRDefault="004764F7" w:rsidP="00476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</w:t>
      </w:r>
    </w:p>
    <w:p w:rsidR="004764F7" w:rsidRDefault="004764F7" w:rsidP="00476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Саратов»</w:t>
      </w:r>
    </w:p>
    <w:p w:rsidR="004764F7" w:rsidRPr="001A5E8A" w:rsidRDefault="004764F7" w:rsidP="004764F7"/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на основании обращения министерства экономического развития Саратовской области организовано проведение экспертизы постановления администрации муниципального образования «Город Саратов» от 13 января 2016 года № 3 «Об утверждении</w:t>
      </w:r>
      <w:proofErr w:type="gramEnd"/>
      <w:r>
        <w:rPr>
          <w:sz w:val="28"/>
          <w:szCs w:val="28"/>
        </w:rPr>
        <w:t xml:space="preserve">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«Город Саратов» (далее – постановление</w:t>
      </w:r>
      <w:r w:rsidR="00D133E4">
        <w:rPr>
          <w:sz w:val="28"/>
          <w:szCs w:val="28"/>
        </w:rPr>
        <w:t xml:space="preserve"> администрации от 13 января 2016 года</w:t>
      </w:r>
      <w:r>
        <w:rPr>
          <w:sz w:val="28"/>
          <w:szCs w:val="28"/>
        </w:rPr>
        <w:t xml:space="preserve"> № 3).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в период с 18.10.2016 по 15.11.2016 проведено публичное обсуждение постановления </w:t>
      </w:r>
      <w:r w:rsidR="00D133E4">
        <w:rPr>
          <w:sz w:val="28"/>
          <w:szCs w:val="28"/>
        </w:rPr>
        <w:t>администрации от 13 января 2016 года № 3</w:t>
      </w:r>
      <w:r>
        <w:rPr>
          <w:sz w:val="28"/>
          <w:szCs w:val="28"/>
        </w:rPr>
        <w:t xml:space="preserve"> путем его размещения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acting</w:t>
      </w:r>
      <w:r w:rsidRPr="00376C1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mupact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срока проведения публичного обсуждения замечаний и предложений в отношении </w:t>
      </w:r>
      <w:r w:rsidR="00D133E4">
        <w:rPr>
          <w:sz w:val="28"/>
          <w:szCs w:val="28"/>
        </w:rPr>
        <w:t xml:space="preserve">постановления администрации от 13 января 2016 года № 3 </w:t>
      </w:r>
      <w:r>
        <w:rPr>
          <w:sz w:val="28"/>
          <w:szCs w:val="28"/>
        </w:rPr>
        <w:t>не поступало.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исследования указанного муниципального правового акта установлено следующее.</w:t>
      </w:r>
    </w:p>
    <w:p w:rsidR="00941A27" w:rsidRDefault="00C145D2" w:rsidP="002D6C7C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от 13 января 2016 года № 3</w:t>
      </w:r>
      <w:r w:rsidR="00941A27">
        <w:rPr>
          <w:sz w:val="28"/>
          <w:szCs w:val="28"/>
        </w:rPr>
        <w:t xml:space="preserve"> определяет </w:t>
      </w:r>
      <w:r w:rsidR="00941A27">
        <w:rPr>
          <w:sz w:val="28"/>
          <w:szCs w:val="28"/>
        </w:rPr>
        <w:lastRenderedPageBreak/>
        <w:t>порядок рассмотрения заявлений</w:t>
      </w:r>
      <w:r w:rsidR="006108DE">
        <w:rPr>
          <w:sz w:val="28"/>
          <w:szCs w:val="28"/>
        </w:rPr>
        <w:t xml:space="preserve"> юридических лиц и и</w:t>
      </w:r>
      <w:r w:rsidR="004B1779">
        <w:rPr>
          <w:sz w:val="28"/>
          <w:szCs w:val="28"/>
        </w:rPr>
        <w:t>ндивидуальных предпринимателей</w:t>
      </w:r>
      <w:r w:rsidR="004B1779" w:rsidRPr="004B1779">
        <w:rPr>
          <w:sz w:val="28"/>
          <w:szCs w:val="28"/>
        </w:rPr>
        <w:t xml:space="preserve"> </w:t>
      </w:r>
      <w:r w:rsidR="004B1779">
        <w:rPr>
          <w:sz w:val="28"/>
          <w:szCs w:val="28"/>
        </w:rPr>
        <w:t>о включении в схему размещения нестационарных торговых объектов на территории муниципального образования «Город Саратов»</w:t>
      </w:r>
      <w:r w:rsidR="00D61503">
        <w:rPr>
          <w:sz w:val="28"/>
          <w:szCs w:val="28"/>
        </w:rPr>
        <w:t xml:space="preserve"> сведений о </w:t>
      </w:r>
      <w:r w:rsidR="00FD77EA">
        <w:rPr>
          <w:sz w:val="28"/>
          <w:szCs w:val="28"/>
        </w:rPr>
        <w:t>нестационарных торговых объектах</w:t>
      </w:r>
      <w:r w:rsidR="00D61503">
        <w:rPr>
          <w:sz w:val="28"/>
          <w:szCs w:val="28"/>
        </w:rPr>
        <w:t>, размещение которых ранее не б</w:t>
      </w:r>
      <w:r w:rsidR="002D6C7C">
        <w:rPr>
          <w:sz w:val="28"/>
          <w:szCs w:val="28"/>
        </w:rPr>
        <w:t xml:space="preserve">ыло предусмотрено данной схемой, </w:t>
      </w:r>
      <w:r w:rsidR="00941A27">
        <w:rPr>
          <w:sz w:val="28"/>
          <w:szCs w:val="28"/>
        </w:rPr>
        <w:t>устанавливает перечень документов, необходимых для принятия уполномоченным структурным подразделением администрации муниципального образования «Город Саратов» соответствующего решения</w:t>
      </w:r>
      <w:proofErr w:type="gramEnd"/>
      <w:r w:rsidR="00941A27">
        <w:rPr>
          <w:sz w:val="28"/>
          <w:szCs w:val="28"/>
        </w:rPr>
        <w:t>, перечень оснований для отказа во включении нестационарного торгового объекта в схему.</w:t>
      </w:r>
      <w:r w:rsidR="00FA53D7">
        <w:rPr>
          <w:sz w:val="28"/>
          <w:szCs w:val="28"/>
        </w:rPr>
        <w:t xml:space="preserve"> </w:t>
      </w:r>
    </w:p>
    <w:p w:rsidR="006108DE" w:rsidRDefault="006108DE" w:rsidP="005779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</w:t>
      </w:r>
      <w:r w:rsidR="00C145D2">
        <w:rPr>
          <w:sz w:val="28"/>
          <w:szCs w:val="28"/>
        </w:rPr>
        <w:t>постановления администрации от 13 января 2016 года № 3</w:t>
      </w:r>
      <w:r>
        <w:rPr>
          <w:sz w:val="28"/>
          <w:szCs w:val="28"/>
        </w:rPr>
        <w:t xml:space="preserve"> не регулируют вопросы разработки и утверждения схемы размещения нестационарных торговых объектов на территории муниципального образования «Город Саратов».</w:t>
      </w:r>
    </w:p>
    <w:p w:rsidR="00941A27" w:rsidRDefault="006108DE" w:rsidP="006108DE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Указанная схема разрабатывается уполномоченным структурным подразделением администрации муниципального образования «Город Саратов» в соответствии с требованиями </w:t>
      </w:r>
      <w:r w:rsidR="004C01A4">
        <w:rPr>
          <w:sz w:val="28"/>
          <w:szCs w:val="28"/>
        </w:rPr>
        <w:t>Федерального закона от 28 декабря 2009 г. № 381-ФЗ «Об основах государственного регулирования торговой деяте</w:t>
      </w:r>
      <w:r w:rsidR="00577938">
        <w:rPr>
          <w:sz w:val="28"/>
          <w:szCs w:val="28"/>
        </w:rPr>
        <w:t>льности в Российской Федерации»</w:t>
      </w:r>
      <w:r>
        <w:rPr>
          <w:sz w:val="28"/>
          <w:szCs w:val="28"/>
        </w:rPr>
        <w:t xml:space="preserve"> и приказа министерства экономического развития Саратовской области от 18 октября 2016</w:t>
      </w:r>
      <w:r w:rsidR="00FD77EA">
        <w:rPr>
          <w:sz w:val="28"/>
          <w:szCs w:val="28"/>
        </w:rPr>
        <w:t xml:space="preserve"> года          № 2424 «О порядке</w:t>
      </w:r>
      <w:r>
        <w:rPr>
          <w:sz w:val="28"/>
          <w:szCs w:val="28"/>
        </w:rPr>
        <w:t xml:space="preserve"> разработки и утверждения схемы </w:t>
      </w:r>
      <w:r w:rsidR="00FD77EA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нестационарных торговых объектов»</w:t>
      </w:r>
      <w:r w:rsidR="00577938">
        <w:rPr>
          <w:sz w:val="28"/>
          <w:szCs w:val="28"/>
        </w:rPr>
        <w:t>.</w:t>
      </w:r>
      <w:proofErr w:type="gramEnd"/>
    </w:p>
    <w:p w:rsidR="004764F7" w:rsidRDefault="00E36D5A" w:rsidP="004764F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</w:t>
      </w:r>
      <w:r w:rsidR="004764F7">
        <w:rPr>
          <w:sz w:val="28"/>
          <w:szCs w:val="28"/>
        </w:rPr>
        <w:t xml:space="preserve"> в</w:t>
      </w:r>
      <w:r w:rsidR="004764F7" w:rsidRPr="00355637">
        <w:rPr>
          <w:sz w:val="28"/>
          <w:szCs w:val="28"/>
        </w:rPr>
        <w:t xml:space="preserve"> соответствии с постановлением администрации муниципального образования «Город Саратов» от 20 января 2012 года № 47 «О порядке проведения антикоррупционной экспертизы нормативных правовых актов (проектов нормативных правовых актов) администрации муниципального обр</w:t>
      </w:r>
      <w:r w:rsidR="006108DE">
        <w:rPr>
          <w:sz w:val="28"/>
          <w:szCs w:val="28"/>
        </w:rPr>
        <w:t>азования «Город Саратов»</w:t>
      </w:r>
      <w:r w:rsidR="004764F7" w:rsidRPr="00355637">
        <w:rPr>
          <w:sz w:val="28"/>
          <w:szCs w:val="28"/>
        </w:rPr>
        <w:t xml:space="preserve"> при подготовке </w:t>
      </w:r>
      <w:r w:rsidR="00C145D2">
        <w:rPr>
          <w:sz w:val="28"/>
          <w:szCs w:val="28"/>
        </w:rPr>
        <w:t>постановления администрации от 13 января 2016 года № 3</w:t>
      </w:r>
      <w:r w:rsidR="004764F7" w:rsidRPr="00355637">
        <w:rPr>
          <w:sz w:val="28"/>
          <w:szCs w:val="28"/>
        </w:rPr>
        <w:t xml:space="preserve"> в отношении соответ</w:t>
      </w:r>
      <w:r w:rsidR="004764F7">
        <w:rPr>
          <w:sz w:val="28"/>
          <w:szCs w:val="28"/>
        </w:rPr>
        <w:t>ствующего проекта была проведена</w:t>
      </w:r>
      <w:r w:rsidR="004764F7" w:rsidRPr="00355637">
        <w:rPr>
          <w:sz w:val="28"/>
          <w:szCs w:val="28"/>
        </w:rPr>
        <w:t xml:space="preserve"> антикоррупционная экспертиза, по результатам проведения </w:t>
      </w:r>
      <w:r w:rsidR="004764F7">
        <w:rPr>
          <w:sz w:val="28"/>
          <w:szCs w:val="28"/>
        </w:rPr>
        <w:t>которой коррупциогенные факторы выявлены не были.</w:t>
      </w:r>
      <w:proofErr w:type="gramEnd"/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изложенным по результатам проведения экспертизы комитетом по экономике сделан вывод об отсутствии</w:t>
      </w:r>
      <w:proofErr w:type="gramEnd"/>
      <w:r>
        <w:rPr>
          <w:sz w:val="28"/>
          <w:szCs w:val="28"/>
        </w:rPr>
        <w:t xml:space="preserve"> в </w:t>
      </w:r>
      <w:r w:rsidR="00C145D2">
        <w:rPr>
          <w:sz w:val="28"/>
          <w:szCs w:val="28"/>
        </w:rPr>
        <w:t>постановлении администрации от 13 января 2016 года № 3</w:t>
      </w:r>
      <w:r w:rsidR="004B177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</w:t>
      </w:r>
      <w:r w:rsidR="00B042B2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EC42F5">
        <w:rPr>
          <w:sz w:val="28"/>
          <w:szCs w:val="28"/>
        </w:rPr>
        <w:t xml:space="preserve"> связи с изданием приказа министерства экономического развития Саратовской области от 18 октября 2016 года № 2424 необходимо внесение изменений в преамбулу </w:t>
      </w:r>
      <w:r w:rsidR="00C145D2">
        <w:rPr>
          <w:sz w:val="28"/>
          <w:szCs w:val="28"/>
        </w:rPr>
        <w:t>постановления администрации от 13 января 2016 года № 3</w:t>
      </w:r>
      <w:r w:rsidR="00EC42F5">
        <w:rPr>
          <w:sz w:val="28"/>
          <w:szCs w:val="28"/>
        </w:rPr>
        <w:t xml:space="preserve"> и пункты 2.1, 2.10 приложения к данному постановлению</w:t>
      </w:r>
      <w:r w:rsidR="00B042B2">
        <w:rPr>
          <w:sz w:val="28"/>
          <w:szCs w:val="28"/>
        </w:rPr>
        <w:t>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</w:p>
    <w:p w:rsidR="004764F7" w:rsidRDefault="004764F7" w:rsidP="004764F7">
      <w:pPr>
        <w:pStyle w:val="a3"/>
        <w:jc w:val="both"/>
        <w:rPr>
          <w:sz w:val="28"/>
          <w:szCs w:val="28"/>
        </w:rPr>
      </w:pPr>
    </w:p>
    <w:p w:rsidR="004764F7" w:rsidRPr="00914947" w:rsidRDefault="004764F7" w:rsidP="004764F7">
      <w:pPr>
        <w:jc w:val="both"/>
        <w:rPr>
          <w:sz w:val="28"/>
          <w:szCs w:val="28"/>
        </w:rPr>
      </w:pPr>
    </w:p>
    <w:p w:rsidR="004764F7" w:rsidRPr="00577938" w:rsidRDefault="004764F7" w:rsidP="00577938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577938">
        <w:rPr>
          <w:b/>
          <w:sz w:val="28"/>
          <w:szCs w:val="28"/>
        </w:rPr>
        <w:t xml:space="preserve">                   А.А. Разборов</w:t>
      </w:r>
    </w:p>
    <w:p w:rsidR="00577938" w:rsidRDefault="00577938" w:rsidP="004764F7">
      <w:pPr>
        <w:rPr>
          <w:sz w:val="18"/>
          <w:szCs w:val="18"/>
        </w:rPr>
      </w:pPr>
    </w:p>
    <w:p w:rsidR="00577938" w:rsidRDefault="00577938" w:rsidP="004764F7">
      <w:pPr>
        <w:rPr>
          <w:sz w:val="18"/>
          <w:szCs w:val="18"/>
        </w:rPr>
      </w:pPr>
    </w:p>
    <w:p w:rsidR="004764F7" w:rsidRDefault="004764F7" w:rsidP="004764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4764F7" w:rsidRPr="00410D3B" w:rsidRDefault="004764F7" w:rsidP="004764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sectPr w:rsidR="004764F7" w:rsidRPr="00410D3B" w:rsidSect="00577938">
      <w:endnotePr>
        <w:numFmt w:val="decimal"/>
      </w:endnotePr>
      <w:pgSz w:w="11906" w:h="16838"/>
      <w:pgMar w:top="993" w:right="851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4764F7"/>
    <w:rsid w:val="00024DDA"/>
    <w:rsid w:val="000433CD"/>
    <w:rsid w:val="000F5EF0"/>
    <w:rsid w:val="00195336"/>
    <w:rsid w:val="00286299"/>
    <w:rsid w:val="002D6C7C"/>
    <w:rsid w:val="0031196C"/>
    <w:rsid w:val="00400281"/>
    <w:rsid w:val="004764F7"/>
    <w:rsid w:val="004B1779"/>
    <w:rsid w:val="004C01A4"/>
    <w:rsid w:val="004F59EF"/>
    <w:rsid w:val="00525782"/>
    <w:rsid w:val="00577938"/>
    <w:rsid w:val="005A4738"/>
    <w:rsid w:val="006108DE"/>
    <w:rsid w:val="00613FD6"/>
    <w:rsid w:val="006B683C"/>
    <w:rsid w:val="006E2FCB"/>
    <w:rsid w:val="00740CCB"/>
    <w:rsid w:val="007B1455"/>
    <w:rsid w:val="008363A2"/>
    <w:rsid w:val="00941A27"/>
    <w:rsid w:val="0096309D"/>
    <w:rsid w:val="00A8096F"/>
    <w:rsid w:val="00A838C6"/>
    <w:rsid w:val="00B042B2"/>
    <w:rsid w:val="00BF690A"/>
    <w:rsid w:val="00C145D2"/>
    <w:rsid w:val="00D133E4"/>
    <w:rsid w:val="00D16BD8"/>
    <w:rsid w:val="00D61503"/>
    <w:rsid w:val="00D968E4"/>
    <w:rsid w:val="00E242CB"/>
    <w:rsid w:val="00E36D5A"/>
    <w:rsid w:val="00E7002B"/>
    <w:rsid w:val="00EC42F5"/>
    <w:rsid w:val="00EF2DB5"/>
    <w:rsid w:val="00FA53D7"/>
    <w:rsid w:val="00FB2FAF"/>
    <w:rsid w:val="00FD1015"/>
    <w:rsid w:val="00FD77EA"/>
    <w:rsid w:val="00FE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64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4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764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6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04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14</cp:revision>
  <cp:lastPrinted>2016-12-08T06:36:00Z</cp:lastPrinted>
  <dcterms:created xsi:type="dcterms:W3CDTF">2016-11-29T06:35:00Z</dcterms:created>
  <dcterms:modified xsi:type="dcterms:W3CDTF">2016-12-09T06:22:00Z</dcterms:modified>
</cp:coreProperties>
</file>