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E5" w:rsidRPr="001805BB" w:rsidRDefault="00C222E5" w:rsidP="001805BB">
      <w:pPr>
        <w:pStyle w:val="Heading1"/>
        <w:tabs>
          <w:tab w:val="left" w:pos="9180"/>
        </w:tabs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САРАТОВ»</w:t>
      </w:r>
    </w:p>
    <w:p w:rsidR="00C222E5" w:rsidRPr="001805BB" w:rsidRDefault="00C222E5" w:rsidP="001805BB">
      <w:pPr>
        <w:pStyle w:val="Heading1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1805BB">
        <w:rPr>
          <w:rFonts w:ascii="Times New Roman" w:hAnsi="Times New Roman" w:cs="Times New Roman"/>
          <w:sz w:val="24"/>
          <w:szCs w:val="24"/>
        </w:rPr>
        <w:t>КОМИТЕТ ПО УПРАВЛЕНИЮ ИМУЩЕСТВОМ ГОРОДА САРАТОВА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Pr="002C439D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 xml:space="preserve">Извещение о проведении аукциона № </w:t>
      </w:r>
      <w:r>
        <w:rPr>
          <w:b/>
          <w:bCs/>
        </w:rPr>
        <w:t>14</w:t>
      </w:r>
    </w:p>
    <w:p w:rsidR="00C222E5" w:rsidRPr="00725637" w:rsidRDefault="00C222E5" w:rsidP="001805BB">
      <w:pPr>
        <w:jc w:val="center"/>
        <w:rPr>
          <w:b/>
          <w:bCs/>
        </w:rPr>
      </w:pPr>
      <w:r w:rsidRPr="00725637">
        <w:rPr>
          <w:b/>
          <w:bCs/>
        </w:rPr>
        <w:t>на право размещения нестационарных торговых объектов</w:t>
      </w:r>
      <w:r>
        <w:rPr>
          <w:b/>
          <w:bCs/>
        </w:rPr>
        <w:t xml:space="preserve"> на территории муниципального образования «Город Саратов»</w:t>
      </w:r>
    </w:p>
    <w:p w:rsidR="00C222E5" w:rsidRDefault="00C222E5" w:rsidP="001805BB">
      <w:pPr>
        <w:jc w:val="center"/>
        <w:rPr>
          <w:b/>
          <w:bCs/>
        </w:rPr>
      </w:pPr>
    </w:p>
    <w:p w:rsidR="00C222E5" w:rsidRDefault="00C222E5" w:rsidP="001805BB">
      <w:pPr>
        <w:jc w:val="center"/>
        <w:rPr>
          <w:rStyle w:val="Strong"/>
        </w:rPr>
      </w:pPr>
      <w:r w:rsidRPr="0032261C">
        <w:rPr>
          <w:b/>
          <w:bCs/>
        </w:rPr>
        <w:t>Торги состоятся  16.03.2018  в 1</w:t>
      </w:r>
      <w:r>
        <w:rPr>
          <w:b/>
          <w:bCs/>
        </w:rPr>
        <w:t>4</w:t>
      </w:r>
      <w:r w:rsidRPr="0032261C">
        <w:rPr>
          <w:b/>
          <w:bCs/>
        </w:rPr>
        <w:t xml:space="preserve">-00  (время местное) </w:t>
      </w:r>
      <w:r w:rsidRPr="0032261C">
        <w:rPr>
          <w:rStyle w:val="Strong"/>
        </w:rPr>
        <w:t>по адресу:  г.Саратов, ул. Большая Казачья, 14</w:t>
      </w:r>
      <w:r>
        <w:rPr>
          <w:rStyle w:val="Strong"/>
        </w:rPr>
        <w:t xml:space="preserve"> </w:t>
      </w:r>
    </w:p>
    <w:p w:rsidR="00C222E5" w:rsidRDefault="00C222E5" w:rsidP="001805BB">
      <w:pPr>
        <w:jc w:val="center"/>
        <w:rPr>
          <w:rStyle w:val="Strong"/>
        </w:rPr>
      </w:pPr>
      <w:r>
        <w:rPr>
          <w:rStyle w:val="Strong"/>
        </w:rPr>
        <w:t>(актовый зал администрации Кировского района муниципального образования «Город Саратов», вход со двора, 1 подъезд, 2 этаж)</w:t>
      </w:r>
    </w:p>
    <w:p w:rsidR="00C222E5" w:rsidRPr="009C37D4" w:rsidRDefault="00C222E5" w:rsidP="001805BB">
      <w:pPr>
        <w:pStyle w:val="ConsPlusNormal"/>
        <w:jc w:val="center"/>
        <w:rPr>
          <w:rFonts w:ascii="Times New Roman" w:hAnsi="Times New Roman" w:cs="Times New Roman"/>
        </w:rPr>
      </w:pPr>
    </w:p>
    <w:p w:rsidR="00C222E5" w:rsidRPr="009C37D4" w:rsidRDefault="00C222E5" w:rsidP="008A79E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2520"/>
        <w:gridCol w:w="1620"/>
        <w:gridCol w:w="1440"/>
        <w:gridCol w:w="1080"/>
        <w:gridCol w:w="2160"/>
        <w:gridCol w:w="3240"/>
        <w:gridCol w:w="1584"/>
        <w:gridCol w:w="1080"/>
        <w:gridCol w:w="900"/>
      </w:tblGrid>
      <w:tr w:rsidR="00C222E5" w:rsidRPr="0070217B">
        <w:tc>
          <w:tcPr>
            <w:tcW w:w="422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P35"/>
            <w:bookmarkEnd w:id="0"/>
            <w:r w:rsidRPr="00D0234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Адрес или адресное обозначение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62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Тип торгового предприятия (торговый павильон, киоск, торговая палатка и иные нестационарные торговые объекты) в соответствии с ГОСТ Р 51303-2013 «Торговля. Термины и определения»</w:t>
            </w:r>
          </w:p>
        </w:tc>
        <w:tc>
          <w:tcPr>
            <w:tcW w:w="144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Группы товаров</w:t>
            </w:r>
          </w:p>
        </w:tc>
        <w:tc>
          <w:tcPr>
            <w:tcW w:w="108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Размер площади места размеще-ния нестацио-нарного торгового объекта, кв.м</w:t>
            </w:r>
          </w:p>
        </w:tc>
        <w:tc>
          <w:tcPr>
            <w:tcW w:w="216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Период функционировая нестационарного торгового объекта (с число, месяц по число, месяц) – срок на который заключается договор</w:t>
            </w:r>
          </w:p>
        </w:tc>
        <w:tc>
          <w:tcPr>
            <w:tcW w:w="324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Основания для размещения нестационарного торгового объекта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нестационарного торгового объекта</w:t>
            </w:r>
          </w:p>
        </w:tc>
        <w:tc>
          <w:tcPr>
            <w:tcW w:w="1584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Начальная цена на право размещения нестационар-ного торгового объекта, руб.</w:t>
            </w:r>
          </w:p>
        </w:tc>
        <w:tc>
          <w:tcPr>
            <w:tcW w:w="108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Шаг аукциона, руб.</w:t>
            </w:r>
          </w:p>
        </w:tc>
        <w:tc>
          <w:tcPr>
            <w:tcW w:w="900" w:type="dxa"/>
          </w:tcPr>
          <w:p w:rsidR="00C222E5" w:rsidRPr="00D02341" w:rsidRDefault="00C222E5" w:rsidP="000B3176">
            <w:pPr>
              <w:jc w:val="center"/>
              <w:rPr>
                <w:b/>
                <w:bCs/>
                <w:sz w:val="20"/>
                <w:szCs w:val="20"/>
              </w:rPr>
            </w:pPr>
            <w:r w:rsidRPr="00D02341">
              <w:rPr>
                <w:b/>
                <w:bCs/>
                <w:sz w:val="20"/>
                <w:szCs w:val="20"/>
              </w:rPr>
              <w:t>Размер задатка, руб.</w:t>
            </w:r>
          </w:p>
        </w:tc>
      </w:tr>
      <w:tr w:rsidR="00C222E5" w:rsidRPr="0070217B">
        <w:tc>
          <w:tcPr>
            <w:tcW w:w="422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C222E5" w:rsidRPr="00D02341" w:rsidRDefault="00C222E5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</w:tcPr>
          <w:p w:rsidR="00C222E5" w:rsidRPr="00D02341" w:rsidRDefault="00C222E5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222E5" w:rsidRPr="00D02341" w:rsidRDefault="00C222E5" w:rsidP="00A169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22E5" w:rsidRPr="0070217B">
        <w:tc>
          <w:tcPr>
            <w:tcW w:w="422" w:type="dxa"/>
          </w:tcPr>
          <w:p w:rsidR="00C222E5" w:rsidRPr="008A4EAE" w:rsidRDefault="00C222E5" w:rsidP="002231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222E5" w:rsidRPr="00D02341" w:rsidRDefault="00C222E5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Просп. им. Кирова С.М., 41, на расстоянии 7 м от фасада дома в сторону ливневого стока и 6 м от входа в парикмахерскую (просп. им. Кирова С.М., 41) в сторону ул. им. Чапаева В.И.</w:t>
            </w:r>
          </w:p>
        </w:tc>
        <w:tc>
          <w:tcPr>
            <w:tcW w:w="1620" w:type="dxa"/>
          </w:tcPr>
          <w:p w:rsidR="00C222E5" w:rsidRPr="00D02341" w:rsidRDefault="00C222E5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торговая тележка</w:t>
            </w:r>
          </w:p>
        </w:tc>
        <w:tc>
          <w:tcPr>
            <w:tcW w:w="1440" w:type="dxa"/>
          </w:tcPr>
          <w:p w:rsidR="00C222E5" w:rsidRPr="00D02341" w:rsidRDefault="00C222E5" w:rsidP="00A1699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сувенирная продукция</w:t>
            </w:r>
          </w:p>
        </w:tc>
        <w:tc>
          <w:tcPr>
            <w:tcW w:w="1080" w:type="dxa"/>
          </w:tcPr>
          <w:p w:rsidR="00C222E5" w:rsidRPr="00D02341" w:rsidRDefault="00C222E5" w:rsidP="00AD77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160" w:type="dxa"/>
          </w:tcPr>
          <w:p w:rsidR="00C222E5" w:rsidRPr="00D02341" w:rsidRDefault="00C222E5" w:rsidP="006B3D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марта</w:t>
            </w: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  <w:p w:rsidR="00C222E5" w:rsidRPr="00D02341" w:rsidRDefault="00C222E5" w:rsidP="006B3DB6">
            <w:pPr>
              <w:pStyle w:val="ConsPlusNormal"/>
              <w:rPr>
                <w:rFonts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по 31 декабря 2018 г.</w:t>
            </w:r>
          </w:p>
        </w:tc>
        <w:tc>
          <w:tcPr>
            <w:tcW w:w="3240" w:type="dxa"/>
          </w:tcPr>
          <w:p w:rsidR="00C222E5" w:rsidRPr="00D02341" w:rsidRDefault="00C222E5" w:rsidP="001017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341">
              <w:rPr>
                <w:rFonts w:ascii="Times New Roman" w:hAnsi="Times New Roman" w:cs="Times New Roman"/>
                <w:sz w:val="20"/>
                <w:szCs w:val="20"/>
              </w:rPr>
              <w:t>свободно и планируется к размещению НТО</w:t>
            </w:r>
          </w:p>
        </w:tc>
        <w:tc>
          <w:tcPr>
            <w:tcW w:w="1584" w:type="dxa"/>
          </w:tcPr>
          <w:p w:rsidR="00C222E5" w:rsidRPr="00F32F38" w:rsidRDefault="00C222E5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</w:t>
            </w:r>
          </w:p>
        </w:tc>
        <w:tc>
          <w:tcPr>
            <w:tcW w:w="1080" w:type="dxa"/>
          </w:tcPr>
          <w:p w:rsidR="00C222E5" w:rsidRPr="00D02341" w:rsidRDefault="00C222E5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C222E5" w:rsidRPr="00F32F38" w:rsidRDefault="00C222E5" w:rsidP="000B31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2773</w:t>
            </w:r>
          </w:p>
        </w:tc>
      </w:tr>
    </w:tbl>
    <w:p w:rsidR="00C222E5" w:rsidRDefault="00C222E5" w:rsidP="00A81CAB">
      <w:pPr>
        <w:jc w:val="both"/>
        <w:rPr>
          <w:sz w:val="20"/>
          <w:szCs w:val="20"/>
          <w:u w:val="single"/>
        </w:rPr>
      </w:pPr>
    </w:p>
    <w:p w:rsidR="00C222E5" w:rsidRDefault="00C222E5" w:rsidP="00A81CAB">
      <w:pPr>
        <w:jc w:val="both"/>
        <w:rPr>
          <w:sz w:val="20"/>
          <w:szCs w:val="20"/>
          <w:u w:val="single"/>
        </w:rPr>
      </w:pPr>
    </w:p>
    <w:p w:rsidR="00C222E5" w:rsidRDefault="00C222E5" w:rsidP="00A81CAB">
      <w:pPr>
        <w:jc w:val="both"/>
        <w:rPr>
          <w:sz w:val="20"/>
          <w:szCs w:val="20"/>
          <w:u w:val="single"/>
        </w:rPr>
      </w:pPr>
    </w:p>
    <w:p w:rsidR="00C222E5" w:rsidRPr="00112512" w:rsidRDefault="00C222E5" w:rsidP="001805BB">
      <w:pPr>
        <w:ind w:firstLine="709"/>
        <w:jc w:val="both"/>
        <w:rPr>
          <w:b/>
          <w:bCs/>
          <w:sz w:val="22"/>
          <w:szCs w:val="22"/>
        </w:rPr>
      </w:pPr>
      <w:r w:rsidRPr="00112512">
        <w:rPr>
          <w:b/>
          <w:bCs/>
          <w:sz w:val="22"/>
          <w:szCs w:val="22"/>
        </w:rPr>
        <w:t>Наименование, место нахождения, почтовый адрес, адрес электронной почты, номер контактного телефона организатора аукциона</w:t>
      </w:r>
      <w:r>
        <w:rPr>
          <w:b/>
          <w:bCs/>
          <w:sz w:val="22"/>
          <w:szCs w:val="22"/>
        </w:rPr>
        <w:t>.</w:t>
      </w:r>
      <w:r w:rsidRPr="00112512">
        <w:rPr>
          <w:b/>
          <w:bCs/>
          <w:sz w:val="22"/>
          <w:szCs w:val="22"/>
        </w:rPr>
        <w:t xml:space="preserve"> 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 xml:space="preserve">аукциона </w:t>
      </w:r>
      <w:r w:rsidRPr="00D90491">
        <w:rPr>
          <w:sz w:val="22"/>
          <w:szCs w:val="22"/>
        </w:rPr>
        <w:t xml:space="preserve"> – комитет по управл</w:t>
      </w:r>
      <w:r>
        <w:rPr>
          <w:sz w:val="22"/>
          <w:szCs w:val="22"/>
        </w:rPr>
        <w:t>ению имуществом города Саратова, местонахождение и почтовый адрес: 410012, г. Саратов,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>пл. Театральная, д.</w:t>
      </w:r>
      <w:r w:rsidRPr="00FB73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7, адрес электронной почты </w:t>
      </w:r>
      <w:hyperlink r:id="rId5" w:history="1">
        <w:r w:rsidRPr="006549CA">
          <w:rPr>
            <w:rStyle w:val="Hyperlink"/>
            <w:sz w:val="22"/>
            <w:szCs w:val="22"/>
            <w:lang w:val="en-US"/>
          </w:rPr>
          <w:t>kimsar</w:t>
        </w:r>
        <w:r w:rsidRPr="006549CA">
          <w:rPr>
            <w:rStyle w:val="Hyperlink"/>
            <w:sz w:val="22"/>
            <w:szCs w:val="22"/>
          </w:rPr>
          <w:t>@</w:t>
        </w:r>
        <w:r w:rsidRPr="006549CA">
          <w:rPr>
            <w:rStyle w:val="Hyperlink"/>
            <w:sz w:val="22"/>
            <w:szCs w:val="22"/>
            <w:lang w:val="en-US"/>
          </w:rPr>
          <w:t>mail</w:t>
        </w:r>
        <w:r w:rsidRPr="006549CA">
          <w:rPr>
            <w:rStyle w:val="Hyperlink"/>
            <w:sz w:val="22"/>
            <w:szCs w:val="22"/>
          </w:rPr>
          <w:t>.</w:t>
        </w:r>
        <w:r w:rsidRPr="006549CA">
          <w:rPr>
            <w:rStyle w:val="Hyperlink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тел. 8 (8452) </w:t>
      </w:r>
      <w:r w:rsidRPr="00801782">
        <w:rPr>
          <w:sz w:val="22"/>
          <w:szCs w:val="22"/>
        </w:rPr>
        <w:t xml:space="preserve">49-30-21. </w:t>
      </w:r>
    </w:p>
    <w:p w:rsidR="00C222E5" w:rsidRPr="008B6AD0" w:rsidRDefault="00C222E5" w:rsidP="001805BB">
      <w:pPr>
        <w:ind w:firstLine="709"/>
        <w:jc w:val="both"/>
        <w:rPr>
          <w:b/>
          <w:bCs/>
          <w:sz w:val="22"/>
          <w:szCs w:val="22"/>
          <w:highlight w:val="yellow"/>
        </w:rPr>
      </w:pPr>
      <w:r w:rsidRPr="008B6AD0">
        <w:rPr>
          <w:b/>
          <w:bCs/>
          <w:sz w:val="22"/>
          <w:szCs w:val="22"/>
        </w:rPr>
        <w:t xml:space="preserve">Место опубликования документации об аукционе, форма заявки на участие в аукционе, </w:t>
      </w:r>
      <w:r>
        <w:rPr>
          <w:b/>
          <w:bCs/>
          <w:sz w:val="22"/>
          <w:szCs w:val="22"/>
        </w:rPr>
        <w:t xml:space="preserve">проект договора, </w:t>
      </w:r>
      <w:r w:rsidRPr="008B6AD0">
        <w:rPr>
          <w:b/>
          <w:bCs/>
          <w:sz w:val="22"/>
          <w:szCs w:val="22"/>
        </w:rPr>
        <w:t>порядок, место (адрес), сроки (дата и время начала и окончания) приема заявок на участие в аукционе</w:t>
      </w:r>
      <w:r>
        <w:rPr>
          <w:b/>
          <w:bCs/>
          <w:sz w:val="22"/>
          <w:szCs w:val="22"/>
        </w:rPr>
        <w:t>.</w:t>
      </w:r>
      <w:r w:rsidRPr="008B6AD0">
        <w:rPr>
          <w:b/>
          <w:bCs/>
          <w:sz w:val="22"/>
          <w:szCs w:val="22"/>
          <w:highlight w:val="yellow"/>
        </w:rPr>
        <w:t xml:space="preserve"> </w:t>
      </w:r>
    </w:p>
    <w:p w:rsidR="00C222E5" w:rsidRPr="006A24DA" w:rsidRDefault="00C222E5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F2900">
        <w:rPr>
          <w:snapToGrid w:val="0"/>
          <w:sz w:val="22"/>
          <w:szCs w:val="22"/>
        </w:rPr>
        <w:t>Документация об аукционе,</w:t>
      </w:r>
      <w:r w:rsidRPr="009F2900">
        <w:rPr>
          <w:sz w:val="22"/>
          <w:szCs w:val="22"/>
        </w:rPr>
        <w:t xml:space="preserve"> проект договора</w:t>
      </w:r>
      <w:r w:rsidRPr="009F2900">
        <w:rPr>
          <w:snapToGrid w:val="0"/>
          <w:sz w:val="22"/>
          <w:szCs w:val="22"/>
        </w:rPr>
        <w:t xml:space="preserve"> </w:t>
      </w:r>
      <w:r w:rsidRPr="009F2900">
        <w:rPr>
          <w:sz w:val="22"/>
          <w:szCs w:val="22"/>
        </w:rPr>
        <w:t xml:space="preserve">размещены на </w:t>
      </w:r>
      <w:r w:rsidRPr="006A24DA">
        <w:rPr>
          <w:sz w:val="22"/>
          <w:szCs w:val="22"/>
        </w:rPr>
        <w:t xml:space="preserve">официальном сайте администрации муниципального образования «Город Саратов» в информационно-коммуникационной сети «Интернет» </w:t>
      </w:r>
      <w:r w:rsidRPr="006A24DA">
        <w:rPr>
          <w:sz w:val="22"/>
          <w:szCs w:val="22"/>
          <w:lang w:val="en-US"/>
        </w:rPr>
        <w:t>www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saratovmer</w:t>
      </w:r>
      <w:r w:rsidRPr="006A24DA">
        <w:rPr>
          <w:sz w:val="22"/>
          <w:szCs w:val="22"/>
        </w:rPr>
        <w:t>.</w:t>
      </w:r>
      <w:r w:rsidRPr="006A24DA">
        <w:rPr>
          <w:sz w:val="22"/>
          <w:szCs w:val="22"/>
          <w:lang w:val="en-US"/>
        </w:rPr>
        <w:t>ru</w:t>
      </w:r>
      <w:r w:rsidRPr="006A24DA">
        <w:rPr>
          <w:sz w:val="22"/>
          <w:szCs w:val="22"/>
        </w:rPr>
        <w:t xml:space="preserve"> (раздел «Аукционы, конкурсы»).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9F2900">
        <w:rPr>
          <w:sz w:val="22"/>
          <w:szCs w:val="22"/>
        </w:rPr>
        <w:t>орма заявки</w:t>
      </w:r>
      <w:r w:rsidRPr="0014478E">
        <w:rPr>
          <w:sz w:val="22"/>
          <w:szCs w:val="22"/>
        </w:rPr>
        <w:t xml:space="preserve"> </w:t>
      </w:r>
      <w:r w:rsidRPr="009F2900">
        <w:rPr>
          <w:sz w:val="22"/>
          <w:szCs w:val="22"/>
        </w:rPr>
        <w:t>на участие в аукционе</w:t>
      </w:r>
      <w:r>
        <w:rPr>
          <w:sz w:val="22"/>
          <w:szCs w:val="22"/>
        </w:rPr>
        <w:t>, опись документов прилагаются.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Заявки на участие в аукционе принимаются в рабочие дни с 10-00 до 13-00 и с 14-00 до 17-00 по адресу: 410012, г. Саратов, Театральная площадь, д.7, ком. 305. </w:t>
      </w:r>
    </w:p>
    <w:p w:rsidR="00C222E5" w:rsidRDefault="00C222E5" w:rsidP="001805BB">
      <w:pPr>
        <w:ind w:firstLine="709"/>
        <w:jc w:val="both"/>
        <w:rPr>
          <w:rStyle w:val="grame"/>
          <w:color w:val="000000"/>
          <w:sz w:val="22"/>
          <w:szCs w:val="22"/>
        </w:rPr>
      </w:pPr>
      <w:r>
        <w:rPr>
          <w:sz w:val="22"/>
          <w:szCs w:val="22"/>
        </w:rPr>
        <w:t xml:space="preserve">Дата и время начала приема заявок: 14.02.2018 </w:t>
      </w:r>
      <w:r>
        <w:rPr>
          <w:color w:val="000000"/>
          <w:sz w:val="22"/>
          <w:szCs w:val="22"/>
        </w:rPr>
        <w:t>г. с 10-00.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Дата и время окончания приема заявок:</w:t>
      </w:r>
      <w:r w:rsidRPr="001805BB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Pr="00CA56F3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CA56F3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CA56F3">
        <w:rPr>
          <w:sz w:val="22"/>
          <w:szCs w:val="22"/>
        </w:rPr>
        <w:t xml:space="preserve"> </w:t>
      </w:r>
      <w:r w:rsidRPr="00CA56F3">
        <w:rPr>
          <w:color w:val="000000"/>
          <w:sz w:val="22"/>
          <w:szCs w:val="22"/>
        </w:rPr>
        <w:t>г. в 17-00.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 w:rsidRPr="008A3964">
        <w:rPr>
          <w:sz w:val="22"/>
          <w:szCs w:val="22"/>
        </w:rPr>
        <w:t xml:space="preserve">Полученные после окончания приема заявок на участие в аукционе заявки на участие в аукционе не рассматриваются и в тот же день возвращаются </w:t>
      </w:r>
      <w:r>
        <w:rPr>
          <w:sz w:val="22"/>
          <w:szCs w:val="22"/>
        </w:rPr>
        <w:t>Претендентом</w:t>
      </w:r>
      <w:r w:rsidRPr="008A3964">
        <w:rPr>
          <w:sz w:val="22"/>
          <w:szCs w:val="22"/>
        </w:rPr>
        <w:t>, подавшим такие заявки.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Каждая заявка на участие в аукционе, поступившая в срок, указанный в документации об аукционе, регистрируется организатором торгов. </w:t>
      </w:r>
    </w:p>
    <w:p w:rsidR="00C222E5" w:rsidRPr="001F4EFC" w:rsidRDefault="00C222E5" w:rsidP="001805BB">
      <w:pPr>
        <w:ind w:right="-1" w:firstLine="709"/>
        <w:jc w:val="both"/>
        <w:rPr>
          <w:b/>
          <w:bCs/>
          <w:sz w:val="22"/>
          <w:szCs w:val="22"/>
        </w:rPr>
      </w:pPr>
      <w:r w:rsidRPr="001F4EFC">
        <w:rPr>
          <w:b/>
          <w:bCs/>
          <w:sz w:val="22"/>
          <w:szCs w:val="22"/>
        </w:rPr>
        <w:t>Место, дата, время и порядок рассмотрения заявок на участие в аукционе и определения участников аукциона</w:t>
      </w:r>
      <w:r>
        <w:rPr>
          <w:b/>
          <w:bCs/>
          <w:sz w:val="22"/>
          <w:szCs w:val="22"/>
        </w:rPr>
        <w:t>.</w:t>
      </w:r>
    </w:p>
    <w:p w:rsidR="00C222E5" w:rsidRDefault="00C222E5" w:rsidP="001805BB">
      <w:pPr>
        <w:ind w:right="-1" w:firstLine="709"/>
        <w:jc w:val="both"/>
        <w:rPr>
          <w:sz w:val="22"/>
          <w:szCs w:val="22"/>
        </w:rPr>
      </w:pPr>
      <w:r w:rsidRPr="009F2900">
        <w:rPr>
          <w:sz w:val="22"/>
          <w:szCs w:val="22"/>
        </w:rPr>
        <w:t>Определение участников аукциона осуществляется аукционной (конкурсной) комиссией по проведению конкурсов и аукционов по предоставлению права на размещение нестационарных торговых объектов на территории муниципального образования «Город Саратов</w:t>
      </w:r>
      <w:r w:rsidRPr="00801197">
        <w:rPr>
          <w:sz w:val="22"/>
          <w:szCs w:val="22"/>
        </w:rPr>
        <w:t xml:space="preserve">» </w:t>
      </w:r>
      <w:r>
        <w:rPr>
          <w:sz w:val="22"/>
          <w:szCs w:val="22"/>
        </w:rPr>
        <w:t>14</w:t>
      </w:r>
      <w:r w:rsidRPr="00801197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801197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801197">
        <w:rPr>
          <w:sz w:val="22"/>
          <w:szCs w:val="22"/>
        </w:rPr>
        <w:t xml:space="preserve"> года</w:t>
      </w:r>
      <w:r w:rsidRPr="00D47BD7">
        <w:rPr>
          <w:sz w:val="22"/>
          <w:szCs w:val="22"/>
        </w:rPr>
        <w:t xml:space="preserve">  в 10 ч 00 мин. (время местное) в</w:t>
      </w:r>
      <w:r w:rsidRPr="009F2900">
        <w:rPr>
          <w:sz w:val="22"/>
          <w:szCs w:val="22"/>
        </w:rPr>
        <w:t xml:space="preserve"> комитете по управлению имуществом города Саратова по адресу: г. Саратов, пл. Театральная, д. 7, ком. 310.</w:t>
      </w:r>
      <w:r w:rsidRPr="00D90491">
        <w:rPr>
          <w:sz w:val="22"/>
          <w:szCs w:val="22"/>
        </w:rPr>
        <w:t xml:space="preserve"> 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На основании результатов рассмотрения заявок комиссией принимается одно из следующих решений: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о допуске к участию в аукционе и признании участниками аукциона;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об отказе в допуске к участию в аукционе.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Претенденту отказывается в допуске к участию в аукционе в следующих случаях: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непредставления документов и сведений, указанных в пункте 3.1 Положения о проведении торгов в форме аукциона на право размещения нестационарных торговых объектов (Приложение № 1 к Порядку предоставления права на размещение нестационарных торговых объектов на территории муниципального образования «Город Саратов», утвержденному постановлением администрации муниципального образования «Город Саратов» от 29.03.2017 № 523</w:t>
      </w:r>
      <w:r>
        <w:rPr>
          <w:sz w:val="22"/>
          <w:szCs w:val="22"/>
        </w:rPr>
        <w:t>)</w:t>
      </w:r>
      <w:r w:rsidRPr="006A7D53">
        <w:rPr>
          <w:sz w:val="22"/>
          <w:szCs w:val="22"/>
        </w:rPr>
        <w:t>, представления документов, не соответствующих требованиям пунктов 3.1, 3.2 указанного Положения, либо наличия в таких документах недостоверных сведений;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непоступления задатка на дату рассмотрения заявок;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подписания заявки лицом, не уполномоченным претендентом на осуществление таких действий;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несоответствия заявки форме, установленной извещением о проведении аукциона, документацией об аукционе;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222E5" w:rsidRPr="006A7D53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C222E5" w:rsidRPr="00B2745B" w:rsidRDefault="00C222E5" w:rsidP="001805BB">
      <w:pPr>
        <w:ind w:firstLine="709"/>
        <w:jc w:val="both"/>
        <w:rPr>
          <w:sz w:val="22"/>
          <w:szCs w:val="22"/>
        </w:rPr>
      </w:pPr>
      <w:r w:rsidRPr="006A7D53">
        <w:rPr>
          <w:sz w:val="22"/>
          <w:szCs w:val="22"/>
        </w:rPr>
        <w:t>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C222E5" w:rsidRDefault="00C222E5" w:rsidP="001805BB">
      <w:pPr>
        <w:pStyle w:val="ConsNormal"/>
        <w:widowControl/>
        <w:spacing w:line="240" w:lineRule="auto"/>
        <w:ind w:right="0"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допущенные комиссией к участию в аукционе. </w:t>
      </w:r>
    </w:p>
    <w:p w:rsidR="00C222E5" w:rsidRPr="00475B6F" w:rsidRDefault="00C222E5" w:rsidP="001805BB">
      <w:pPr>
        <w:ind w:right="-1"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</w:t>
      </w:r>
      <w:r w:rsidRPr="00475B6F">
        <w:rPr>
          <w:b/>
          <w:bCs/>
          <w:sz w:val="22"/>
          <w:szCs w:val="22"/>
        </w:rPr>
        <w:t>орядок проведения аукциона</w:t>
      </w:r>
      <w:r>
        <w:rPr>
          <w:b/>
          <w:bCs/>
          <w:sz w:val="22"/>
          <w:szCs w:val="22"/>
        </w:rPr>
        <w:t>.</w:t>
      </w:r>
    </w:p>
    <w:p w:rsidR="00C222E5" w:rsidRDefault="00C222E5" w:rsidP="001805BB">
      <w:pPr>
        <w:ind w:right="-1" w:firstLine="709"/>
        <w:jc w:val="both"/>
        <w:rPr>
          <w:sz w:val="22"/>
          <w:szCs w:val="22"/>
        </w:rPr>
      </w:pPr>
      <w:r w:rsidRPr="00D90491">
        <w:rPr>
          <w:sz w:val="22"/>
          <w:szCs w:val="22"/>
        </w:rPr>
        <w:t xml:space="preserve">Форма подачи предложения о цене за право размещения нестационарного торгового объекта – открытая, заявляется участниками аукциона открыто в ходе проведения </w:t>
      </w:r>
      <w:r>
        <w:rPr>
          <w:sz w:val="22"/>
          <w:szCs w:val="22"/>
        </w:rPr>
        <w:t>аукциона</w:t>
      </w:r>
      <w:r w:rsidRPr="00D90491">
        <w:rPr>
          <w:sz w:val="22"/>
          <w:szCs w:val="22"/>
        </w:rPr>
        <w:t xml:space="preserve">. После заявления </w:t>
      </w:r>
      <w:r w:rsidRPr="004D0F70">
        <w:rPr>
          <w:sz w:val="22"/>
          <w:szCs w:val="22"/>
        </w:rPr>
        <w:t>участниками аукциона начальной цены аукционист предлагает участникам аукциона заявлять свои предложения по цене, превышающей начальную цену предложения. Каждая последующая цена,</w:t>
      </w:r>
      <w:r w:rsidRPr="00D90491">
        <w:rPr>
          <w:sz w:val="22"/>
          <w:szCs w:val="22"/>
        </w:rPr>
        <w:t xml:space="preserve"> </w:t>
      </w:r>
      <w:r>
        <w:rPr>
          <w:sz w:val="22"/>
          <w:szCs w:val="22"/>
        </w:rPr>
        <w:t>превышающая предыдущую цену на «шаг аукциона»</w:t>
      </w:r>
      <w:r w:rsidRPr="00D90491">
        <w:rPr>
          <w:sz w:val="22"/>
          <w:szCs w:val="22"/>
        </w:rPr>
        <w:t xml:space="preserve">, заявляется участниками аукциона путем поднятия карточек. В </w:t>
      </w:r>
      <w:r>
        <w:rPr>
          <w:sz w:val="22"/>
          <w:szCs w:val="22"/>
        </w:rPr>
        <w:t>случае заявления цены предложения, кратной «шагу аукциона»</w:t>
      </w:r>
      <w:r w:rsidRPr="00D90491">
        <w:rPr>
          <w:sz w:val="22"/>
          <w:szCs w:val="22"/>
        </w:rPr>
        <w:t xml:space="preserve">, эта цена заявляется участниками аукциона путем поднятия карточек и ее оглашения. </w:t>
      </w:r>
      <w:r>
        <w:rPr>
          <w:sz w:val="22"/>
          <w:szCs w:val="22"/>
        </w:rPr>
        <w:t>А</w:t>
      </w:r>
      <w:r w:rsidRPr="00D90491">
        <w:rPr>
          <w:sz w:val="22"/>
          <w:szCs w:val="22"/>
        </w:rPr>
        <w:t xml:space="preserve"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</w:t>
      </w:r>
      <w:r>
        <w:rPr>
          <w:sz w:val="22"/>
          <w:szCs w:val="22"/>
        </w:rPr>
        <w:t>предложения</w:t>
      </w:r>
      <w:r w:rsidRPr="00D90491">
        <w:rPr>
          <w:sz w:val="22"/>
          <w:szCs w:val="22"/>
        </w:rPr>
        <w:t>.</w:t>
      </w:r>
    </w:p>
    <w:p w:rsidR="00C222E5" w:rsidRPr="00600B76" w:rsidRDefault="00C222E5" w:rsidP="001805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</w:rPr>
      </w:pPr>
      <w:r w:rsidRPr="00600B76">
        <w:rPr>
          <w:rFonts w:ascii="Times New Roman" w:hAnsi="Times New Roman" w:cs="Times New Roman"/>
        </w:rPr>
        <w:t xml:space="preserve">«Шаг аукциона» устанавливается в </w:t>
      </w:r>
      <w:r>
        <w:rPr>
          <w:rFonts w:ascii="Times New Roman" w:hAnsi="Times New Roman" w:cs="Times New Roman"/>
        </w:rPr>
        <w:t>пределах</w:t>
      </w:r>
      <w:r w:rsidRPr="00600B76">
        <w:rPr>
          <w:rFonts w:ascii="Times New Roman" w:hAnsi="Times New Roman" w:cs="Times New Roman"/>
        </w:rPr>
        <w:t xml:space="preserve"> трех процентов начальной цены лота, указанной в извещении о проведении аукциона. </w:t>
      </w:r>
    </w:p>
    <w:p w:rsidR="00C222E5" w:rsidRPr="00D90491" w:rsidRDefault="00C222E5" w:rsidP="001805B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90491">
        <w:rPr>
          <w:rFonts w:ascii="Times New Roman" w:hAnsi="Times New Roman" w:cs="Times New Roman"/>
        </w:rPr>
        <w:t xml:space="preserve">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 </w:t>
      </w:r>
    </w:p>
    <w:p w:rsidR="00C222E5" w:rsidRDefault="00C222E5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  <w:highlight w:val="cyan"/>
        </w:rPr>
      </w:pPr>
      <w:r w:rsidRPr="00AE7D80">
        <w:rPr>
          <w:sz w:val="22"/>
          <w:szCs w:val="22"/>
        </w:rPr>
        <w:t>Победителем аукциона признается участник аукциона, предложивший наиболее высокую цену.</w:t>
      </w:r>
    </w:p>
    <w:p w:rsidR="00C222E5" w:rsidRPr="004F00FE" w:rsidRDefault="00C222E5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0FE">
        <w:rPr>
          <w:sz w:val="22"/>
          <w:szCs w:val="22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</w:t>
      </w:r>
      <w:r>
        <w:rPr>
          <w:sz w:val="22"/>
          <w:szCs w:val="22"/>
        </w:rPr>
        <w:t>до</w:t>
      </w:r>
      <w:r w:rsidRPr="004F00FE">
        <w:rPr>
          <w:sz w:val="22"/>
          <w:szCs w:val="22"/>
        </w:rPr>
        <w:t xml:space="preserve"> </w:t>
      </w:r>
      <w:r w:rsidRPr="00D90491">
        <w:rPr>
          <w:sz w:val="22"/>
          <w:szCs w:val="22"/>
        </w:rPr>
        <w:t xml:space="preserve">третьего повторения </w:t>
      </w:r>
      <w:r w:rsidRPr="004F00FE">
        <w:rPr>
          <w:sz w:val="22"/>
          <w:szCs w:val="22"/>
        </w:rPr>
        <w:t>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222E5" w:rsidRPr="005D36DB" w:rsidRDefault="00C222E5" w:rsidP="001805BB">
      <w:pPr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5D36DB">
        <w:rPr>
          <w:b/>
          <w:bCs/>
          <w:sz w:val="22"/>
          <w:szCs w:val="22"/>
        </w:rPr>
        <w:t>Порядок и срок заключения договора.</w:t>
      </w:r>
    </w:p>
    <w:p w:rsidR="00C222E5" w:rsidRPr="000B0D91" w:rsidRDefault="00C222E5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дневный срок со дня подписания протокола об итогах аукциона. При этом договор заключается по цене, предложенной победителем аукциона, или,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</w:t>
      </w:r>
      <w:r>
        <w:rPr>
          <w:sz w:val="22"/>
          <w:szCs w:val="22"/>
        </w:rPr>
        <w:t>четыре</w:t>
      </w:r>
      <w:r w:rsidRPr="000B0D91">
        <w:rPr>
          <w:sz w:val="22"/>
          <w:szCs w:val="22"/>
        </w:rPr>
        <w:t xml:space="preserve"> </w:t>
      </w:r>
      <w:r>
        <w:rPr>
          <w:sz w:val="22"/>
          <w:szCs w:val="22"/>
        </w:rPr>
        <w:t>календарных</w:t>
      </w:r>
      <w:r w:rsidRPr="000B0D91">
        <w:rPr>
          <w:sz w:val="22"/>
          <w:szCs w:val="22"/>
        </w:rPr>
        <w:t xml:space="preserve"> дн</w:t>
      </w:r>
      <w:r>
        <w:rPr>
          <w:sz w:val="22"/>
          <w:szCs w:val="22"/>
        </w:rPr>
        <w:t>я</w:t>
      </w:r>
      <w:r w:rsidRPr="000B0D91">
        <w:rPr>
          <w:sz w:val="22"/>
          <w:szCs w:val="22"/>
        </w:rPr>
        <w:t xml:space="preserve"> со дня размещения протокола об итогах аукциона на сайте.</w:t>
      </w:r>
    </w:p>
    <w:p w:rsidR="00C222E5" w:rsidRPr="000B0D91" w:rsidRDefault="00C222E5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 xml:space="preserve">Победитель аукциона в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дневный срок со дня получения проекта договора, но не ранее </w:t>
      </w:r>
      <w:r>
        <w:rPr>
          <w:sz w:val="22"/>
          <w:szCs w:val="22"/>
        </w:rPr>
        <w:t>четырех</w:t>
      </w:r>
      <w:r w:rsidRPr="000B0D91">
        <w:rPr>
          <w:sz w:val="22"/>
          <w:szCs w:val="22"/>
        </w:rPr>
        <w:t xml:space="preserve"> </w:t>
      </w:r>
      <w:r>
        <w:rPr>
          <w:sz w:val="22"/>
          <w:szCs w:val="22"/>
        </w:rPr>
        <w:t>календарных</w:t>
      </w:r>
      <w:r w:rsidRPr="000B0D91">
        <w:rPr>
          <w:sz w:val="22"/>
          <w:szCs w:val="22"/>
        </w:rPr>
        <w:t xml:space="preserve"> дней со дня размещения протокола об итогах аукциона на сайте, подписывает и представляет организатору аукциона три экземпляра договора для регистрации, один из которых возвращается победителю аукциона. </w:t>
      </w:r>
    </w:p>
    <w:p w:rsidR="00C222E5" w:rsidRDefault="00C222E5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 в этом случае, является обязательным. При этом договор заключается по цене, предложенной данным участником аукциона.</w:t>
      </w:r>
    </w:p>
    <w:p w:rsidR="00C222E5" w:rsidRPr="000B0D91" w:rsidRDefault="00C222E5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Организатор аукциона в течение трех рабочих дней с момента истечения срока заключения договора, указанного в извещение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</w:p>
    <w:p w:rsidR="00C222E5" w:rsidRPr="00915594" w:rsidRDefault="00C222E5" w:rsidP="001805BB">
      <w:pPr>
        <w:pStyle w:val="BodyTextIndent3"/>
        <w:rPr>
          <w:b/>
          <w:bCs/>
          <w:sz w:val="22"/>
          <w:szCs w:val="22"/>
        </w:rPr>
      </w:pPr>
      <w:r w:rsidRPr="00915594">
        <w:rPr>
          <w:b/>
          <w:bCs/>
          <w:sz w:val="22"/>
          <w:szCs w:val="22"/>
        </w:rPr>
        <w:t>Размер, сроки, порядок внесения и возврата денежных средств в качестве обеспечения заявок на участие в аукционе (задатка), банковские реквизиты счета для перечисления задатка.</w:t>
      </w:r>
    </w:p>
    <w:p w:rsidR="00C222E5" w:rsidRDefault="00C222E5" w:rsidP="001805BB">
      <w:pPr>
        <w:pStyle w:val="BodyTextIndent3"/>
        <w:rPr>
          <w:sz w:val="22"/>
          <w:szCs w:val="22"/>
        </w:rPr>
      </w:pPr>
      <w:r>
        <w:rPr>
          <w:sz w:val="22"/>
          <w:szCs w:val="22"/>
        </w:rPr>
        <w:t>Сумма задатка перечисляется Претендентом через банк плательщика не позднее 12.03.</w:t>
      </w:r>
      <w:r w:rsidRPr="00801197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801197">
        <w:rPr>
          <w:sz w:val="22"/>
          <w:szCs w:val="22"/>
        </w:rPr>
        <w:t xml:space="preserve"> г.</w:t>
      </w:r>
    </w:p>
    <w:p w:rsidR="00C222E5" w:rsidRPr="00D32C0E" w:rsidRDefault="00C222E5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Реквизиты счетов для внесения задатка: Получатель: УФК по Саратовской области (Комитет по управлению имуществом города Саратова) 05603008790, банк получателя: Отделение по Саратовской области Волго-Вятского главного управления Центрального банка Российской Федерации (краткое наименование банка для заполнения платежных поручений – Отделение Саратов г.Саратов), банковский счет 40302810963113000001, БИК 046311001, ИНН 6450003860, КПП 645501001.</w:t>
      </w:r>
    </w:p>
    <w:p w:rsidR="00C222E5" w:rsidRPr="00BA199C" w:rsidRDefault="00C222E5" w:rsidP="001805BB">
      <w:pPr>
        <w:jc w:val="both"/>
        <w:rPr>
          <w:sz w:val="22"/>
          <w:szCs w:val="22"/>
        </w:rPr>
      </w:pPr>
      <w:r w:rsidRPr="00801197">
        <w:rPr>
          <w:sz w:val="22"/>
          <w:szCs w:val="22"/>
        </w:rPr>
        <w:t xml:space="preserve">Назначение платежа: «Оплата задатка для участия </w:t>
      </w:r>
      <w:r w:rsidRPr="00801197">
        <w:rPr>
          <w:i/>
          <w:iCs/>
          <w:sz w:val="22"/>
          <w:szCs w:val="22"/>
        </w:rPr>
        <w:t xml:space="preserve"> </w:t>
      </w:r>
      <w:r w:rsidRPr="00801197">
        <w:rPr>
          <w:sz w:val="22"/>
          <w:szCs w:val="22"/>
        </w:rPr>
        <w:t xml:space="preserve">в аукционе  № </w:t>
      </w:r>
      <w:r>
        <w:rPr>
          <w:sz w:val="22"/>
          <w:szCs w:val="22"/>
        </w:rPr>
        <w:t>14</w:t>
      </w:r>
      <w:r w:rsidRPr="00801197">
        <w:rPr>
          <w:sz w:val="22"/>
          <w:szCs w:val="22"/>
        </w:rPr>
        <w:t xml:space="preserve"> на право размещения нестационарного торгового объекта</w:t>
      </w:r>
      <w:r w:rsidRPr="00801197">
        <w:rPr>
          <w:b/>
          <w:bCs/>
          <w:sz w:val="22"/>
          <w:szCs w:val="22"/>
        </w:rPr>
        <w:t xml:space="preserve"> </w:t>
      </w:r>
      <w:r w:rsidRPr="00801197">
        <w:rPr>
          <w:sz w:val="22"/>
          <w:szCs w:val="22"/>
        </w:rPr>
        <w:t>по лоту № __  .</w:t>
      </w:r>
    </w:p>
    <w:p w:rsidR="00C222E5" w:rsidRPr="00D32C0E" w:rsidRDefault="00C222E5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Заключение договора задатк</w:t>
      </w:r>
      <w:r>
        <w:rPr>
          <w:sz w:val="22"/>
          <w:szCs w:val="22"/>
        </w:rPr>
        <w:t>а между организатором торгов и Претендентом</w:t>
      </w:r>
      <w:r w:rsidRPr="00D32C0E">
        <w:rPr>
          <w:sz w:val="22"/>
          <w:szCs w:val="22"/>
        </w:rPr>
        <w:t xml:space="preserve"> не предусмотрено.</w:t>
      </w:r>
    </w:p>
    <w:p w:rsidR="00C222E5" w:rsidRPr="004D2F1F" w:rsidRDefault="00C222E5" w:rsidP="001805BB">
      <w:pPr>
        <w:ind w:firstLine="709"/>
        <w:jc w:val="both"/>
        <w:rPr>
          <w:sz w:val="22"/>
          <w:szCs w:val="22"/>
        </w:rPr>
      </w:pPr>
      <w:r w:rsidRPr="00D32C0E">
        <w:rPr>
          <w:sz w:val="22"/>
          <w:szCs w:val="22"/>
        </w:rPr>
        <w:t>В течение трех рабочих дней с даты подписания протокола аукциона организатор аукциона</w:t>
      </w:r>
      <w:r w:rsidRPr="004D2F1F">
        <w:rPr>
          <w:sz w:val="22"/>
          <w:szCs w:val="22"/>
        </w:rPr>
        <w:t xml:space="preserve"> обязан возвратить задаток участникам аукциона, которые участвовали в аукционе, но не стали победителями. </w:t>
      </w:r>
    </w:p>
    <w:p w:rsidR="00C222E5" w:rsidRDefault="00C222E5" w:rsidP="001805B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B0D91">
        <w:rPr>
          <w:sz w:val="22"/>
          <w:szCs w:val="22"/>
        </w:rPr>
        <w:t>Задаток, внесенный лицом, признанным победителем аукциона, а также единственным принявшим участие в аукционе участником аукциона, с которыми заключен договор, засчитываются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C222E5" w:rsidRDefault="00C222E5" w:rsidP="001805B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801782">
        <w:rPr>
          <w:sz w:val="22"/>
          <w:szCs w:val="22"/>
        </w:rPr>
        <w:t>Настоящее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222E5" w:rsidRPr="008E6B2A" w:rsidRDefault="00C222E5" w:rsidP="001805BB">
      <w:pPr>
        <w:ind w:firstLine="709"/>
        <w:rPr>
          <w:b/>
          <w:bCs/>
          <w:sz w:val="22"/>
          <w:szCs w:val="22"/>
        </w:rPr>
      </w:pPr>
      <w:r w:rsidRPr="008E6B2A">
        <w:rPr>
          <w:b/>
          <w:bCs/>
          <w:sz w:val="22"/>
          <w:szCs w:val="22"/>
        </w:rPr>
        <w:t>Требования к участникам аукциона.</w:t>
      </w:r>
    </w:p>
    <w:p w:rsidR="00C222E5" w:rsidRDefault="00C222E5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 xml:space="preserve">- соответствие </w:t>
      </w:r>
      <w:hyperlink r:id="rId6" w:history="1">
        <w:r w:rsidRPr="008E6B2A">
          <w:rPr>
            <w:sz w:val="22"/>
            <w:szCs w:val="22"/>
          </w:rPr>
          <w:t>требованиям</w:t>
        </w:r>
      </w:hyperlink>
      <w:r w:rsidRPr="008E6B2A">
        <w:rPr>
          <w:sz w:val="22"/>
          <w:szCs w:val="22"/>
        </w:rPr>
        <w:t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право на размещение которого является предметом аукциона,</w:t>
      </w:r>
    </w:p>
    <w:p w:rsidR="00C222E5" w:rsidRPr="008E6B2A" w:rsidRDefault="00C222E5" w:rsidP="001805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11C3F">
        <w:rPr>
          <w:sz w:val="22"/>
          <w:szCs w:val="22"/>
        </w:rPr>
        <w:t>-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24.07.2007 № 209-ФЗ «О развитии малого и среднего предпринимате</w:t>
      </w:r>
      <w:r>
        <w:rPr>
          <w:sz w:val="22"/>
          <w:szCs w:val="22"/>
        </w:rPr>
        <w:t>льства в Российской Федерации»</w:t>
      </w:r>
      <w:r w:rsidRPr="00011C3F">
        <w:rPr>
          <w:sz w:val="22"/>
          <w:szCs w:val="22"/>
        </w:rPr>
        <w:t>;</w:t>
      </w:r>
    </w:p>
    <w:p w:rsidR="00C222E5" w:rsidRPr="008E6B2A" w:rsidRDefault="00C222E5" w:rsidP="001805BB">
      <w:pPr>
        <w:ind w:firstLine="709"/>
        <w:jc w:val="both"/>
        <w:rPr>
          <w:sz w:val="22"/>
          <w:szCs w:val="22"/>
        </w:rPr>
      </w:pPr>
      <w:r w:rsidRPr="008E6B2A">
        <w:rPr>
          <w:sz w:val="22"/>
          <w:szCs w:val="22"/>
        </w:rPr>
        <w:t>-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производства,</w:t>
      </w:r>
    </w:p>
    <w:p w:rsidR="00C222E5" w:rsidRPr="00143A67" w:rsidRDefault="00C222E5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-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C222E5" w:rsidRPr="00143A67" w:rsidRDefault="00C222E5" w:rsidP="001805BB">
      <w:pPr>
        <w:ind w:firstLine="709"/>
        <w:jc w:val="both"/>
        <w:rPr>
          <w:sz w:val="22"/>
          <w:szCs w:val="22"/>
        </w:rPr>
      </w:pPr>
      <w:r w:rsidRPr="00143A67">
        <w:rPr>
          <w:sz w:val="22"/>
          <w:szCs w:val="22"/>
        </w:rPr>
        <w:t>Ограничение в отношении участников аукциона – участниками аукциона могут быть исключительно субъекты малого и среднего предпринимательства.</w:t>
      </w:r>
    </w:p>
    <w:p w:rsidR="00C222E5" w:rsidRDefault="00C222E5" w:rsidP="00A81CAB">
      <w:pPr>
        <w:jc w:val="both"/>
        <w:rPr>
          <w:sz w:val="20"/>
          <w:szCs w:val="20"/>
          <w:u w:val="single"/>
        </w:rPr>
      </w:pPr>
    </w:p>
    <w:sectPr w:rsidR="00C222E5" w:rsidSect="00BF1F06">
      <w:pgSz w:w="16838" w:h="11906" w:orient="landscape" w:code="9"/>
      <w:pgMar w:top="1418" w:right="709" w:bottom="425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DD6"/>
    <w:multiLevelType w:val="hybridMultilevel"/>
    <w:tmpl w:val="02F033BA"/>
    <w:lvl w:ilvl="0" w:tplc="40DEE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0EA76CE"/>
    <w:multiLevelType w:val="hybridMultilevel"/>
    <w:tmpl w:val="AA1464D2"/>
    <w:lvl w:ilvl="0" w:tplc="EF786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0237BB"/>
    <w:multiLevelType w:val="hybridMultilevel"/>
    <w:tmpl w:val="5D5ABBA2"/>
    <w:lvl w:ilvl="0" w:tplc="4AA4F06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107"/>
    <w:rsid w:val="000047A8"/>
    <w:rsid w:val="00005297"/>
    <w:rsid w:val="00005460"/>
    <w:rsid w:val="00011C3F"/>
    <w:rsid w:val="0001253F"/>
    <w:rsid w:val="00026035"/>
    <w:rsid w:val="000270D1"/>
    <w:rsid w:val="00050DC0"/>
    <w:rsid w:val="0005218F"/>
    <w:rsid w:val="000545C4"/>
    <w:rsid w:val="00061E48"/>
    <w:rsid w:val="00064968"/>
    <w:rsid w:val="0007530B"/>
    <w:rsid w:val="00082577"/>
    <w:rsid w:val="00084DED"/>
    <w:rsid w:val="000A5B0E"/>
    <w:rsid w:val="000B0D91"/>
    <w:rsid w:val="000B3176"/>
    <w:rsid w:val="000C2693"/>
    <w:rsid w:val="000C5D74"/>
    <w:rsid w:val="000D28ED"/>
    <w:rsid w:val="0010177A"/>
    <w:rsid w:val="00112388"/>
    <w:rsid w:val="00112512"/>
    <w:rsid w:val="00134A7F"/>
    <w:rsid w:val="00137933"/>
    <w:rsid w:val="0014000F"/>
    <w:rsid w:val="00140412"/>
    <w:rsid w:val="00143A67"/>
    <w:rsid w:val="0014478E"/>
    <w:rsid w:val="001447F6"/>
    <w:rsid w:val="00162AFC"/>
    <w:rsid w:val="00167B63"/>
    <w:rsid w:val="00172215"/>
    <w:rsid w:val="001805BB"/>
    <w:rsid w:val="00187DA6"/>
    <w:rsid w:val="00196683"/>
    <w:rsid w:val="00197BF4"/>
    <w:rsid w:val="00197ECA"/>
    <w:rsid w:val="001A0FAE"/>
    <w:rsid w:val="001A3958"/>
    <w:rsid w:val="001A4691"/>
    <w:rsid w:val="001A6975"/>
    <w:rsid w:val="001B0F9F"/>
    <w:rsid w:val="001B2EFF"/>
    <w:rsid w:val="001D1022"/>
    <w:rsid w:val="001D2CE3"/>
    <w:rsid w:val="001D402B"/>
    <w:rsid w:val="001D42DA"/>
    <w:rsid w:val="001D73E9"/>
    <w:rsid w:val="001E0107"/>
    <w:rsid w:val="001E336E"/>
    <w:rsid w:val="001E6F26"/>
    <w:rsid w:val="001F12F9"/>
    <w:rsid w:val="001F4EFC"/>
    <w:rsid w:val="002064AA"/>
    <w:rsid w:val="00206FD5"/>
    <w:rsid w:val="002231A8"/>
    <w:rsid w:val="00230783"/>
    <w:rsid w:val="002312AF"/>
    <w:rsid w:val="00235C39"/>
    <w:rsid w:val="00252AAA"/>
    <w:rsid w:val="00263C12"/>
    <w:rsid w:val="00275366"/>
    <w:rsid w:val="00281CED"/>
    <w:rsid w:val="002926D3"/>
    <w:rsid w:val="00295F89"/>
    <w:rsid w:val="002A1E53"/>
    <w:rsid w:val="002A7B11"/>
    <w:rsid w:val="002A7DC8"/>
    <w:rsid w:val="002B30D9"/>
    <w:rsid w:val="002C439D"/>
    <w:rsid w:val="002D3FBD"/>
    <w:rsid w:val="002D4216"/>
    <w:rsid w:val="002E0D8F"/>
    <w:rsid w:val="002E490F"/>
    <w:rsid w:val="002F16D4"/>
    <w:rsid w:val="002F5E05"/>
    <w:rsid w:val="00314908"/>
    <w:rsid w:val="0031769C"/>
    <w:rsid w:val="00317E82"/>
    <w:rsid w:val="0032261C"/>
    <w:rsid w:val="00330185"/>
    <w:rsid w:val="00335F51"/>
    <w:rsid w:val="00337281"/>
    <w:rsid w:val="00354F23"/>
    <w:rsid w:val="00362CB1"/>
    <w:rsid w:val="003653D4"/>
    <w:rsid w:val="00382370"/>
    <w:rsid w:val="00382525"/>
    <w:rsid w:val="00382F51"/>
    <w:rsid w:val="003978A7"/>
    <w:rsid w:val="003A2CD4"/>
    <w:rsid w:val="003B14FA"/>
    <w:rsid w:val="003B17E3"/>
    <w:rsid w:val="003B4668"/>
    <w:rsid w:val="003B47BD"/>
    <w:rsid w:val="003B4B87"/>
    <w:rsid w:val="003B7A7B"/>
    <w:rsid w:val="003C1978"/>
    <w:rsid w:val="003C2249"/>
    <w:rsid w:val="003C519D"/>
    <w:rsid w:val="003E71AD"/>
    <w:rsid w:val="003F241C"/>
    <w:rsid w:val="003F5A4F"/>
    <w:rsid w:val="0042127C"/>
    <w:rsid w:val="00425C48"/>
    <w:rsid w:val="0044242A"/>
    <w:rsid w:val="00444414"/>
    <w:rsid w:val="00445B88"/>
    <w:rsid w:val="004504F2"/>
    <w:rsid w:val="00450559"/>
    <w:rsid w:val="00475B6F"/>
    <w:rsid w:val="004825A8"/>
    <w:rsid w:val="00482987"/>
    <w:rsid w:val="004848E5"/>
    <w:rsid w:val="00491B7A"/>
    <w:rsid w:val="00495203"/>
    <w:rsid w:val="00497B35"/>
    <w:rsid w:val="004A05AE"/>
    <w:rsid w:val="004A0AA1"/>
    <w:rsid w:val="004A0C91"/>
    <w:rsid w:val="004B25A8"/>
    <w:rsid w:val="004C14F6"/>
    <w:rsid w:val="004C3D1A"/>
    <w:rsid w:val="004C7C0E"/>
    <w:rsid w:val="004D0F70"/>
    <w:rsid w:val="004D1885"/>
    <w:rsid w:val="004D2F1F"/>
    <w:rsid w:val="004E1B8D"/>
    <w:rsid w:val="004F00FE"/>
    <w:rsid w:val="004F6787"/>
    <w:rsid w:val="005028C1"/>
    <w:rsid w:val="00505F50"/>
    <w:rsid w:val="00511D8F"/>
    <w:rsid w:val="00516438"/>
    <w:rsid w:val="0052068F"/>
    <w:rsid w:val="0052249C"/>
    <w:rsid w:val="0052459A"/>
    <w:rsid w:val="00537599"/>
    <w:rsid w:val="0054260C"/>
    <w:rsid w:val="0055019F"/>
    <w:rsid w:val="005547DB"/>
    <w:rsid w:val="00555553"/>
    <w:rsid w:val="00557B4B"/>
    <w:rsid w:val="00563F8B"/>
    <w:rsid w:val="005643EB"/>
    <w:rsid w:val="00564E07"/>
    <w:rsid w:val="00564F9C"/>
    <w:rsid w:val="00567D61"/>
    <w:rsid w:val="005753E0"/>
    <w:rsid w:val="00576C29"/>
    <w:rsid w:val="0058150F"/>
    <w:rsid w:val="005844BA"/>
    <w:rsid w:val="00590F17"/>
    <w:rsid w:val="00593587"/>
    <w:rsid w:val="005948E2"/>
    <w:rsid w:val="005B23FB"/>
    <w:rsid w:val="005D36DB"/>
    <w:rsid w:val="005E242D"/>
    <w:rsid w:val="00600B76"/>
    <w:rsid w:val="00602F78"/>
    <w:rsid w:val="006134F1"/>
    <w:rsid w:val="0063439C"/>
    <w:rsid w:val="0064509D"/>
    <w:rsid w:val="0065034C"/>
    <w:rsid w:val="006528CA"/>
    <w:rsid w:val="00653CA9"/>
    <w:rsid w:val="006549CA"/>
    <w:rsid w:val="006566C9"/>
    <w:rsid w:val="00670598"/>
    <w:rsid w:val="0067448E"/>
    <w:rsid w:val="00680217"/>
    <w:rsid w:val="00680DE0"/>
    <w:rsid w:val="00696716"/>
    <w:rsid w:val="006A24DA"/>
    <w:rsid w:val="006A7D53"/>
    <w:rsid w:val="006B3DB6"/>
    <w:rsid w:val="006B442C"/>
    <w:rsid w:val="006B56A7"/>
    <w:rsid w:val="006C0EB4"/>
    <w:rsid w:val="006C1682"/>
    <w:rsid w:val="006C1980"/>
    <w:rsid w:val="006D64D4"/>
    <w:rsid w:val="006E48FE"/>
    <w:rsid w:val="006E564D"/>
    <w:rsid w:val="0070217B"/>
    <w:rsid w:val="00702C82"/>
    <w:rsid w:val="00703F81"/>
    <w:rsid w:val="00707C36"/>
    <w:rsid w:val="0071151A"/>
    <w:rsid w:val="00715B5B"/>
    <w:rsid w:val="00725637"/>
    <w:rsid w:val="0073012E"/>
    <w:rsid w:val="007321A0"/>
    <w:rsid w:val="00732BB3"/>
    <w:rsid w:val="00751DB6"/>
    <w:rsid w:val="007676EA"/>
    <w:rsid w:val="00767AF1"/>
    <w:rsid w:val="007745DC"/>
    <w:rsid w:val="007851C0"/>
    <w:rsid w:val="00785D6B"/>
    <w:rsid w:val="00797AAD"/>
    <w:rsid w:val="007A06AC"/>
    <w:rsid w:val="007A1BB3"/>
    <w:rsid w:val="007A5487"/>
    <w:rsid w:val="007C3957"/>
    <w:rsid w:val="007C429D"/>
    <w:rsid w:val="007C4860"/>
    <w:rsid w:val="007C6080"/>
    <w:rsid w:val="007C765B"/>
    <w:rsid w:val="007C7CA8"/>
    <w:rsid w:val="007D495C"/>
    <w:rsid w:val="007D5C26"/>
    <w:rsid w:val="007E04F8"/>
    <w:rsid w:val="007E15E9"/>
    <w:rsid w:val="007E4CFB"/>
    <w:rsid w:val="007F01A2"/>
    <w:rsid w:val="007F13B4"/>
    <w:rsid w:val="007F3E5A"/>
    <w:rsid w:val="00801197"/>
    <w:rsid w:val="00801782"/>
    <w:rsid w:val="00804914"/>
    <w:rsid w:val="00807DAC"/>
    <w:rsid w:val="00810D2A"/>
    <w:rsid w:val="00812A57"/>
    <w:rsid w:val="00816EEE"/>
    <w:rsid w:val="008204FA"/>
    <w:rsid w:val="00823B27"/>
    <w:rsid w:val="0083077B"/>
    <w:rsid w:val="00830B92"/>
    <w:rsid w:val="00832EFF"/>
    <w:rsid w:val="008662D4"/>
    <w:rsid w:val="00866EE1"/>
    <w:rsid w:val="00875074"/>
    <w:rsid w:val="0087676B"/>
    <w:rsid w:val="00891CC1"/>
    <w:rsid w:val="008A3964"/>
    <w:rsid w:val="008A45EB"/>
    <w:rsid w:val="008A4EAE"/>
    <w:rsid w:val="008A79E9"/>
    <w:rsid w:val="008B5000"/>
    <w:rsid w:val="008B6AD0"/>
    <w:rsid w:val="008C56FA"/>
    <w:rsid w:val="008E218F"/>
    <w:rsid w:val="008E6B2A"/>
    <w:rsid w:val="00901DC1"/>
    <w:rsid w:val="00907E7C"/>
    <w:rsid w:val="00913A73"/>
    <w:rsid w:val="00915594"/>
    <w:rsid w:val="0092073B"/>
    <w:rsid w:val="009257D7"/>
    <w:rsid w:val="00927216"/>
    <w:rsid w:val="00955189"/>
    <w:rsid w:val="00956E68"/>
    <w:rsid w:val="009573C5"/>
    <w:rsid w:val="00986C7A"/>
    <w:rsid w:val="00991EEB"/>
    <w:rsid w:val="00996FD2"/>
    <w:rsid w:val="009B19EB"/>
    <w:rsid w:val="009C004D"/>
    <w:rsid w:val="009C37D4"/>
    <w:rsid w:val="009F2900"/>
    <w:rsid w:val="009F2973"/>
    <w:rsid w:val="009F6409"/>
    <w:rsid w:val="00A02FAB"/>
    <w:rsid w:val="00A115A2"/>
    <w:rsid w:val="00A1408D"/>
    <w:rsid w:val="00A16991"/>
    <w:rsid w:val="00A27211"/>
    <w:rsid w:val="00A45841"/>
    <w:rsid w:val="00A7343F"/>
    <w:rsid w:val="00A77211"/>
    <w:rsid w:val="00A81CAB"/>
    <w:rsid w:val="00A92078"/>
    <w:rsid w:val="00AA70F4"/>
    <w:rsid w:val="00AC7E34"/>
    <w:rsid w:val="00AD4EE0"/>
    <w:rsid w:val="00AD666E"/>
    <w:rsid w:val="00AD7759"/>
    <w:rsid w:val="00AD7CED"/>
    <w:rsid w:val="00AE5A34"/>
    <w:rsid w:val="00AE7D80"/>
    <w:rsid w:val="00B04309"/>
    <w:rsid w:val="00B064E8"/>
    <w:rsid w:val="00B0727A"/>
    <w:rsid w:val="00B2639F"/>
    <w:rsid w:val="00B2745B"/>
    <w:rsid w:val="00B433D3"/>
    <w:rsid w:val="00B755B4"/>
    <w:rsid w:val="00B829E7"/>
    <w:rsid w:val="00B90119"/>
    <w:rsid w:val="00B902F5"/>
    <w:rsid w:val="00BA09D9"/>
    <w:rsid w:val="00BA199C"/>
    <w:rsid w:val="00BA5C55"/>
    <w:rsid w:val="00BA639C"/>
    <w:rsid w:val="00BB527A"/>
    <w:rsid w:val="00BC4CE1"/>
    <w:rsid w:val="00BC7C63"/>
    <w:rsid w:val="00BD2B7F"/>
    <w:rsid w:val="00BD397A"/>
    <w:rsid w:val="00BD573F"/>
    <w:rsid w:val="00BE7B65"/>
    <w:rsid w:val="00BF1953"/>
    <w:rsid w:val="00BF1F06"/>
    <w:rsid w:val="00BF446C"/>
    <w:rsid w:val="00BF483C"/>
    <w:rsid w:val="00BF4D4A"/>
    <w:rsid w:val="00BF4D88"/>
    <w:rsid w:val="00C11292"/>
    <w:rsid w:val="00C20072"/>
    <w:rsid w:val="00C222E5"/>
    <w:rsid w:val="00C374C8"/>
    <w:rsid w:val="00C43161"/>
    <w:rsid w:val="00C5542E"/>
    <w:rsid w:val="00C56593"/>
    <w:rsid w:val="00C622DF"/>
    <w:rsid w:val="00C70784"/>
    <w:rsid w:val="00C75107"/>
    <w:rsid w:val="00C80E6C"/>
    <w:rsid w:val="00CA1EB4"/>
    <w:rsid w:val="00CA3A9D"/>
    <w:rsid w:val="00CA56F3"/>
    <w:rsid w:val="00CB2BAB"/>
    <w:rsid w:val="00CB44DC"/>
    <w:rsid w:val="00CC241F"/>
    <w:rsid w:val="00CD2BE8"/>
    <w:rsid w:val="00CD6794"/>
    <w:rsid w:val="00CE5D59"/>
    <w:rsid w:val="00CF2019"/>
    <w:rsid w:val="00CF3182"/>
    <w:rsid w:val="00CF739E"/>
    <w:rsid w:val="00D01396"/>
    <w:rsid w:val="00D01E9D"/>
    <w:rsid w:val="00D02341"/>
    <w:rsid w:val="00D02D1D"/>
    <w:rsid w:val="00D03CF8"/>
    <w:rsid w:val="00D27A9A"/>
    <w:rsid w:val="00D32C0E"/>
    <w:rsid w:val="00D353AE"/>
    <w:rsid w:val="00D47BD7"/>
    <w:rsid w:val="00D51DA0"/>
    <w:rsid w:val="00D61243"/>
    <w:rsid w:val="00D71E07"/>
    <w:rsid w:val="00D757AA"/>
    <w:rsid w:val="00D773A8"/>
    <w:rsid w:val="00D86EB2"/>
    <w:rsid w:val="00D90491"/>
    <w:rsid w:val="00D92A22"/>
    <w:rsid w:val="00D95AE8"/>
    <w:rsid w:val="00DA4274"/>
    <w:rsid w:val="00DB660E"/>
    <w:rsid w:val="00DC797B"/>
    <w:rsid w:val="00DD5B75"/>
    <w:rsid w:val="00DD649B"/>
    <w:rsid w:val="00DD789F"/>
    <w:rsid w:val="00DD7CA8"/>
    <w:rsid w:val="00DE4E7F"/>
    <w:rsid w:val="00DF1F39"/>
    <w:rsid w:val="00E04D55"/>
    <w:rsid w:val="00E16E8D"/>
    <w:rsid w:val="00E23777"/>
    <w:rsid w:val="00E4355C"/>
    <w:rsid w:val="00E44DC9"/>
    <w:rsid w:val="00E45DB3"/>
    <w:rsid w:val="00E464DB"/>
    <w:rsid w:val="00E6195B"/>
    <w:rsid w:val="00E62EE0"/>
    <w:rsid w:val="00E829FA"/>
    <w:rsid w:val="00E84D76"/>
    <w:rsid w:val="00E92A38"/>
    <w:rsid w:val="00EA05E0"/>
    <w:rsid w:val="00EA113F"/>
    <w:rsid w:val="00EA6D0E"/>
    <w:rsid w:val="00EB22D7"/>
    <w:rsid w:val="00EB5A62"/>
    <w:rsid w:val="00EC38EA"/>
    <w:rsid w:val="00ED312C"/>
    <w:rsid w:val="00ED4379"/>
    <w:rsid w:val="00ED5435"/>
    <w:rsid w:val="00ED648F"/>
    <w:rsid w:val="00ED6DCB"/>
    <w:rsid w:val="00ED7118"/>
    <w:rsid w:val="00EF4C80"/>
    <w:rsid w:val="00F01809"/>
    <w:rsid w:val="00F04520"/>
    <w:rsid w:val="00F11AAF"/>
    <w:rsid w:val="00F27F19"/>
    <w:rsid w:val="00F32F38"/>
    <w:rsid w:val="00F4345B"/>
    <w:rsid w:val="00F46FA8"/>
    <w:rsid w:val="00F50048"/>
    <w:rsid w:val="00F50729"/>
    <w:rsid w:val="00F53699"/>
    <w:rsid w:val="00F548EB"/>
    <w:rsid w:val="00F62982"/>
    <w:rsid w:val="00F661BA"/>
    <w:rsid w:val="00F67407"/>
    <w:rsid w:val="00F7708C"/>
    <w:rsid w:val="00F77729"/>
    <w:rsid w:val="00F82ABB"/>
    <w:rsid w:val="00F96808"/>
    <w:rsid w:val="00FA690F"/>
    <w:rsid w:val="00FB73FC"/>
    <w:rsid w:val="00FC1C8D"/>
    <w:rsid w:val="00FE01FA"/>
    <w:rsid w:val="00FE2623"/>
    <w:rsid w:val="00FE7570"/>
    <w:rsid w:val="00FF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86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B6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198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10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86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FA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C1980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51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75107"/>
    <w:pPr>
      <w:ind w:left="467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5107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C75107"/>
    <w:pPr>
      <w:spacing w:afterAutospacing="1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A6975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680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DE0"/>
    <w:rPr>
      <w:rFonts w:ascii="Tahoma" w:hAnsi="Tahoma" w:cs="Tahoma"/>
      <w:sz w:val="16"/>
      <w:szCs w:val="16"/>
      <w:lang w:eastAsia="ru-RU"/>
    </w:rPr>
  </w:style>
  <w:style w:type="character" w:customStyle="1" w:styleId="a0">
    <w:name w:val="Цветовое выделение"/>
    <w:uiPriority w:val="99"/>
    <w:rsid w:val="002F5E05"/>
    <w:rPr>
      <w:b/>
      <w:bCs/>
      <w:color w:val="000080"/>
    </w:rPr>
  </w:style>
  <w:style w:type="paragraph" w:customStyle="1" w:styleId="a1">
    <w:name w:val="Заголовок статьи"/>
    <w:basedOn w:val="Normal"/>
    <w:next w:val="Normal"/>
    <w:uiPriority w:val="99"/>
    <w:rsid w:val="002F5E0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styleId="BodyText">
    <w:name w:val="Body Text"/>
    <w:basedOn w:val="Normal"/>
    <w:link w:val="BodyTextChar"/>
    <w:uiPriority w:val="99"/>
    <w:rsid w:val="003825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2525"/>
    <w:rPr>
      <w:rFonts w:ascii="Times New Roman" w:hAnsi="Times New Roman" w:cs="Times New Roman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38252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2A7B1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A7B11"/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2A7B1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6787"/>
    <w:pPr>
      <w:ind w:left="720" w:firstLine="567"/>
      <w:jc w:val="both"/>
    </w:pPr>
    <w:rPr>
      <w:rFonts w:ascii="Calibri" w:hAnsi="Calibri" w:cs="Calibri"/>
      <w:sz w:val="22"/>
      <w:szCs w:val="22"/>
    </w:rPr>
  </w:style>
  <w:style w:type="paragraph" w:customStyle="1" w:styleId="2">
    <w:name w:val="2. Руководители"/>
    <w:basedOn w:val="Normal"/>
    <w:uiPriority w:val="99"/>
    <w:rsid w:val="00D03CF8"/>
    <w:rPr>
      <w:rFonts w:ascii="Calibri" w:hAnsi="Calibri" w:cs="Calibr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rsid w:val="00A1408D"/>
    <w:rPr>
      <w:color w:val="0000FF"/>
      <w:u w:val="single"/>
    </w:rPr>
  </w:style>
  <w:style w:type="paragraph" w:customStyle="1" w:styleId="ConsPlusNormal">
    <w:name w:val="ConsPlusNormal"/>
    <w:uiPriority w:val="99"/>
    <w:rsid w:val="008A79E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A79E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8A79E9"/>
    <w:pPr>
      <w:widowControl w:val="0"/>
      <w:autoSpaceDE w:val="0"/>
      <w:autoSpaceDN w:val="0"/>
      <w:adjustRightInd w:val="0"/>
      <w:ind w:firstLine="902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1"/>
    <w:uiPriority w:val="99"/>
    <w:rsid w:val="0070217B"/>
    <w:pPr>
      <w:tabs>
        <w:tab w:val="center" w:pos="4153"/>
        <w:tab w:val="right" w:pos="8306"/>
      </w:tabs>
    </w:pPr>
    <w:rPr>
      <w:rFonts w:eastAsia="Calibr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FA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70217B"/>
    <w:rPr>
      <w:sz w:val="28"/>
      <w:szCs w:val="28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1805BB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1805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37599"/>
    <w:rPr>
      <w:rFonts w:ascii="Times New Roman" w:hAnsi="Times New Roman" w:cs="Times New Roman"/>
      <w:sz w:val="16"/>
      <w:szCs w:val="16"/>
    </w:rPr>
  </w:style>
  <w:style w:type="character" w:customStyle="1" w:styleId="grame">
    <w:name w:val="grame"/>
    <w:basedOn w:val="DefaultParagraphFont"/>
    <w:uiPriority w:val="99"/>
    <w:rsid w:val="001805BB"/>
  </w:style>
  <w:style w:type="paragraph" w:customStyle="1" w:styleId="ConsNormal">
    <w:name w:val="ConsNormal"/>
    <w:uiPriority w:val="99"/>
    <w:rsid w:val="001805BB"/>
    <w:pPr>
      <w:widowControl w:val="0"/>
      <w:suppressAutoHyphens/>
      <w:autoSpaceDE w:val="0"/>
      <w:spacing w:line="360" w:lineRule="atLeast"/>
      <w:ind w:right="19772" w:firstLine="720"/>
      <w:jc w:val="both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hyperlink" Target="mailto:kims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4</Pages>
  <Words>1807</Words>
  <Characters>10300</Characters>
  <Application>Microsoft Office Outlook</Application>
  <DocSecurity>0</DocSecurity>
  <Lines>0</Lines>
  <Paragraphs>0</Paragraphs>
  <ScaleCrop>false</ScaleCrop>
  <Company>Администрация г.Саратова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Potrebitel</dc:creator>
  <cp:keywords/>
  <dc:description/>
  <cp:lastModifiedBy>lne</cp:lastModifiedBy>
  <cp:revision>6</cp:revision>
  <cp:lastPrinted>2018-02-13T11:59:00Z</cp:lastPrinted>
  <dcterms:created xsi:type="dcterms:W3CDTF">2018-02-08T11:32:00Z</dcterms:created>
  <dcterms:modified xsi:type="dcterms:W3CDTF">2018-02-13T12:22:00Z</dcterms:modified>
</cp:coreProperties>
</file>